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7B4" w:rsidRPr="00215723" w:rsidRDefault="004867B4" w:rsidP="00044418">
      <w:pPr>
        <w:ind w:left="6179"/>
        <w:jc w:val="left"/>
        <w:rPr>
          <w:sz w:val="24"/>
          <w:rtl/>
        </w:rPr>
      </w:pPr>
      <w:bookmarkStart w:id="0" w:name="_GoBack"/>
      <w:bookmarkEnd w:id="0"/>
      <w:r w:rsidRPr="00215723">
        <w:rPr>
          <w:rFonts w:hint="eastAsia"/>
          <w:sz w:val="24"/>
          <w:rtl/>
        </w:rPr>
        <w:t>כ</w:t>
      </w:r>
      <w:r w:rsidRPr="00215723">
        <w:rPr>
          <w:sz w:val="24"/>
          <w:rtl/>
        </w:rPr>
        <w:t>"</w:t>
      </w:r>
      <w:r w:rsidRPr="00215723">
        <w:rPr>
          <w:rFonts w:hint="eastAsia"/>
          <w:sz w:val="24"/>
          <w:rtl/>
        </w:rPr>
        <w:t>ה</w:t>
      </w:r>
      <w:r w:rsidRPr="00215723">
        <w:rPr>
          <w:sz w:val="24"/>
          <w:rtl/>
        </w:rPr>
        <w:t xml:space="preserve"> </w:t>
      </w:r>
      <w:r w:rsidRPr="00215723">
        <w:rPr>
          <w:rFonts w:hint="eastAsia"/>
          <w:sz w:val="24"/>
          <w:rtl/>
        </w:rPr>
        <w:t>באב</w:t>
      </w:r>
      <w:r w:rsidRPr="00215723">
        <w:rPr>
          <w:sz w:val="24"/>
          <w:rtl/>
        </w:rPr>
        <w:t xml:space="preserve"> </w:t>
      </w:r>
      <w:proofErr w:type="spellStart"/>
      <w:r w:rsidRPr="00215723">
        <w:rPr>
          <w:rFonts w:hint="eastAsia"/>
          <w:sz w:val="24"/>
          <w:rtl/>
        </w:rPr>
        <w:t>התשע</w:t>
      </w:r>
      <w:r w:rsidRPr="00215723">
        <w:rPr>
          <w:sz w:val="24"/>
          <w:rtl/>
        </w:rPr>
        <w:t>"</w:t>
      </w:r>
      <w:r w:rsidRPr="00215723">
        <w:rPr>
          <w:rFonts w:hint="eastAsia"/>
          <w:sz w:val="24"/>
          <w:rtl/>
        </w:rPr>
        <w:t>ה</w:t>
      </w:r>
      <w:proofErr w:type="spellEnd"/>
      <w:r w:rsidRPr="00215723">
        <w:rPr>
          <w:sz w:val="24"/>
          <w:rtl/>
        </w:rPr>
        <w:br/>
        <w:t xml:space="preserve">10 </w:t>
      </w:r>
      <w:r w:rsidRPr="00215723">
        <w:rPr>
          <w:rFonts w:hint="eastAsia"/>
          <w:sz w:val="24"/>
          <w:rtl/>
        </w:rPr>
        <w:t>באוגוסט</w:t>
      </w:r>
      <w:r w:rsidRPr="00215723">
        <w:rPr>
          <w:sz w:val="24"/>
          <w:rtl/>
        </w:rPr>
        <w:t xml:space="preserve"> 2015</w:t>
      </w:r>
    </w:p>
    <w:p w:rsidR="00BC2B76" w:rsidRDefault="00BC2B76" w:rsidP="00044418">
      <w:pPr>
        <w:ind w:left="6179"/>
        <w:jc w:val="left"/>
        <w:rPr>
          <w:sz w:val="24"/>
          <w:rtl/>
        </w:rPr>
      </w:pPr>
      <w:bookmarkStart w:id="1" w:name="DocNum"/>
      <w:bookmarkEnd w:id="1"/>
      <w:r>
        <w:rPr>
          <w:rFonts w:hint="eastAsia"/>
          <w:sz w:val="24"/>
          <w:rtl/>
        </w:rPr>
        <w:t>שה</w:t>
      </w:r>
      <w:r>
        <w:rPr>
          <w:sz w:val="24"/>
          <w:rtl/>
        </w:rPr>
        <w:t>. 2015-30077</w:t>
      </w:r>
    </w:p>
    <w:p w:rsidR="00044418" w:rsidRDefault="00044418" w:rsidP="00044418">
      <w:pPr>
        <w:spacing w:line="360" w:lineRule="auto"/>
        <w:jc w:val="left"/>
        <w:rPr>
          <w:sz w:val="24"/>
          <w:rtl/>
        </w:rPr>
      </w:pPr>
    </w:p>
    <w:p w:rsidR="00044418" w:rsidRPr="00DB00DF" w:rsidRDefault="00044418" w:rsidP="00044418">
      <w:pPr>
        <w:spacing w:line="360" w:lineRule="auto"/>
        <w:jc w:val="left"/>
        <w:rPr>
          <w:sz w:val="24"/>
          <w:rtl/>
        </w:rPr>
      </w:pPr>
      <w:r w:rsidRPr="00DB00DF">
        <w:rPr>
          <w:sz w:val="24"/>
          <w:rtl/>
        </w:rPr>
        <w:t>אל:</w:t>
      </w:r>
      <w:r w:rsidRPr="00DB00DF">
        <w:rPr>
          <w:rFonts w:hint="cs"/>
          <w:sz w:val="24"/>
          <w:rtl/>
        </w:rPr>
        <w:t xml:space="preserve"> </w:t>
      </w:r>
    </w:p>
    <w:p w:rsidR="00BC2B76" w:rsidRDefault="00BC2B76" w:rsidP="00044418">
      <w:pPr>
        <w:tabs>
          <w:tab w:val="left" w:pos="3486"/>
          <w:tab w:val="left" w:pos="4353"/>
        </w:tabs>
        <w:spacing w:line="360" w:lineRule="auto"/>
        <w:jc w:val="left"/>
        <w:rPr>
          <w:sz w:val="24"/>
          <w:rtl/>
        </w:rPr>
      </w:pPr>
      <w:bookmarkStart w:id="2" w:name="MainToEl"/>
      <w:bookmarkEnd w:id="2"/>
      <w:r>
        <w:rPr>
          <w:rFonts w:hint="eastAsia"/>
          <w:sz w:val="24"/>
          <w:rtl/>
        </w:rPr>
        <w:t>ועדת</w:t>
      </w:r>
      <w:r>
        <w:rPr>
          <w:sz w:val="24"/>
          <w:rtl/>
        </w:rPr>
        <w:t xml:space="preserve"> </w:t>
      </w:r>
      <w:r>
        <w:rPr>
          <w:rFonts w:hint="eastAsia"/>
          <w:sz w:val="24"/>
          <w:rtl/>
        </w:rPr>
        <w:t>מכרזים</w:t>
      </w:r>
      <w:r>
        <w:rPr>
          <w:sz w:val="24"/>
          <w:rtl/>
        </w:rPr>
        <w:t xml:space="preserve"> </w:t>
      </w:r>
      <w:r>
        <w:rPr>
          <w:rFonts w:hint="eastAsia"/>
          <w:sz w:val="24"/>
          <w:rtl/>
        </w:rPr>
        <w:t>שוק</w:t>
      </w:r>
      <w:r>
        <w:rPr>
          <w:sz w:val="24"/>
          <w:rtl/>
        </w:rPr>
        <w:t xml:space="preserve"> </w:t>
      </w:r>
      <w:r>
        <w:rPr>
          <w:rFonts w:hint="eastAsia"/>
          <w:sz w:val="24"/>
          <w:rtl/>
        </w:rPr>
        <w:t>ההון</w:t>
      </w:r>
    </w:p>
    <w:p w:rsidR="00044418" w:rsidRPr="00DB00DF" w:rsidRDefault="00044418" w:rsidP="00044418">
      <w:pPr>
        <w:tabs>
          <w:tab w:val="left" w:pos="3486"/>
          <w:tab w:val="left" w:pos="5896"/>
        </w:tabs>
        <w:spacing w:line="360" w:lineRule="auto"/>
        <w:jc w:val="left"/>
        <w:rPr>
          <w:rFonts w:ascii="Times New Roman" w:hAnsi="Times New Roman"/>
          <w:sz w:val="24"/>
          <w:rtl/>
        </w:rPr>
      </w:pPr>
    </w:p>
    <w:p w:rsidR="00044418" w:rsidRPr="00DB00DF" w:rsidRDefault="00044418" w:rsidP="00BC2B76">
      <w:pPr>
        <w:spacing w:line="360" w:lineRule="auto"/>
        <w:ind w:left="651" w:hanging="651"/>
        <w:jc w:val="center"/>
        <w:rPr>
          <w:rFonts w:ascii="Times New Roman" w:hAnsi="Times New Roman"/>
          <w:b/>
          <w:bCs/>
          <w:sz w:val="24"/>
          <w:u w:val="single"/>
          <w:rtl/>
        </w:rPr>
      </w:pPr>
      <w:r w:rsidRPr="00DB00DF">
        <w:rPr>
          <w:rFonts w:ascii="Times New Roman" w:hAnsi="Times New Roman"/>
          <w:sz w:val="24"/>
          <w:rtl/>
        </w:rPr>
        <w:t>הנדון:</w:t>
      </w:r>
      <w:r w:rsidRPr="00DB00DF">
        <w:rPr>
          <w:rFonts w:ascii="Times New Roman" w:hAnsi="Times New Roman"/>
          <w:b/>
          <w:bCs/>
          <w:sz w:val="24"/>
          <w:u w:val="single"/>
          <w:rtl/>
        </w:rPr>
        <w:tab/>
      </w:r>
      <w:bookmarkStart w:id="3" w:name="About"/>
      <w:bookmarkEnd w:id="3"/>
      <w:r w:rsidR="00BC2B76">
        <w:rPr>
          <w:rFonts w:ascii="Times New Roman" w:hAnsi="Times New Roman" w:hint="eastAsia"/>
          <w:b/>
          <w:bCs/>
          <w:sz w:val="24"/>
          <w:u w:val="single"/>
          <w:rtl/>
        </w:rPr>
        <w:t>בקשה</w:t>
      </w:r>
      <w:r w:rsidR="00BC2B76">
        <w:rPr>
          <w:rFonts w:ascii="Times New Roman" w:hAnsi="Times New Roman"/>
          <w:b/>
          <w:bCs/>
          <w:sz w:val="24"/>
          <w:u w:val="single"/>
          <w:rtl/>
        </w:rPr>
        <w:t xml:space="preserve"> להארכת מנוי עם "</w:t>
      </w:r>
      <w:r w:rsidR="00BC2B76">
        <w:rPr>
          <w:rFonts w:ascii="Times New Roman" w:hAnsi="Times New Roman"/>
          <w:b/>
          <w:bCs/>
          <w:sz w:val="24"/>
          <w:u w:val="single"/>
        </w:rPr>
        <w:t>Insurance ERM</w:t>
      </w:r>
      <w:r w:rsidR="00BC2B76">
        <w:rPr>
          <w:rFonts w:ascii="Times New Roman" w:hAnsi="Times New Roman"/>
          <w:b/>
          <w:bCs/>
          <w:sz w:val="24"/>
          <w:u w:val="single"/>
          <w:rtl/>
        </w:rPr>
        <w:t>"  - כספק יחיד</w:t>
      </w:r>
    </w:p>
    <w:p w:rsidR="009C5931" w:rsidRDefault="00BC2B76" w:rsidP="009C5931">
      <w:pPr>
        <w:spacing w:before="120" w:after="120" w:line="360" w:lineRule="auto"/>
        <w:rPr>
          <w:rFonts w:ascii="Times New Roman" w:hAnsi="Times New Roman"/>
          <w:b/>
          <w:bCs/>
          <w:sz w:val="24"/>
          <w:u w:val="single"/>
          <w:rtl/>
        </w:rPr>
      </w:pPr>
      <w:bookmarkStart w:id="4" w:name="reference"/>
      <w:bookmarkStart w:id="5" w:name="start"/>
      <w:bookmarkEnd w:id="4"/>
      <w:bookmarkEnd w:id="5"/>
      <w:r>
        <w:rPr>
          <w:rFonts w:ascii="Times New Roman" w:hAnsi="Times New Roman"/>
          <w:b/>
          <w:bCs/>
          <w:sz w:val="24"/>
          <w:u w:val="single"/>
          <w:rtl/>
        </w:rPr>
        <w:t xml:space="preserve"> </w:t>
      </w:r>
    </w:p>
    <w:p w:rsidR="009F2C30" w:rsidRPr="009C5931" w:rsidRDefault="009C5931" w:rsidP="009C5931">
      <w:pPr>
        <w:spacing w:before="120" w:after="120" w:line="360" w:lineRule="auto"/>
        <w:rPr>
          <w:rFonts w:ascii="Times New Roman" w:hAnsi="Times New Roman"/>
          <w:b/>
          <w:bCs/>
          <w:sz w:val="24"/>
          <w:u w:val="single"/>
          <w:rtl/>
        </w:rPr>
      </w:pPr>
      <w:r w:rsidRPr="009C5931">
        <w:rPr>
          <w:rFonts w:ascii="Times New Roman" w:hAnsi="Times New Roman" w:hint="cs"/>
          <w:b/>
          <w:bCs/>
          <w:sz w:val="24"/>
          <w:u w:val="single"/>
          <w:rtl/>
        </w:rPr>
        <w:t>רקע ובקשה לרכישת מנוי</w:t>
      </w:r>
    </w:p>
    <w:p w:rsidR="009C5931" w:rsidRDefault="009C5931" w:rsidP="009C5931">
      <w:pPr>
        <w:spacing w:after="120" w:line="360" w:lineRule="auto"/>
        <w:rPr>
          <w:rFonts w:ascii="Times New Roman" w:hAnsi="Times New Roman"/>
          <w:sz w:val="24"/>
          <w:rtl/>
        </w:rPr>
      </w:pPr>
      <w:r>
        <w:rPr>
          <w:rFonts w:ascii="Times New Roman" w:hAnsi="Times New Roman" w:hint="cs"/>
          <w:sz w:val="24"/>
          <w:rtl/>
        </w:rPr>
        <w:t xml:space="preserve">מחלקת </w:t>
      </w:r>
      <w:proofErr w:type="spellStart"/>
      <w:r>
        <w:rPr>
          <w:rFonts w:ascii="Times New Roman" w:hAnsi="Times New Roman" w:hint="cs"/>
          <w:sz w:val="24"/>
          <w:rtl/>
        </w:rPr>
        <w:t>סולבנסי</w:t>
      </w:r>
      <w:proofErr w:type="spellEnd"/>
      <w:r>
        <w:rPr>
          <w:rFonts w:ascii="Times New Roman" w:hAnsi="Times New Roman" w:hint="cs"/>
          <w:sz w:val="24"/>
          <w:rtl/>
        </w:rPr>
        <w:t xml:space="preserve"> 2 באגף שוק ההון</w:t>
      </w:r>
      <w:r w:rsidR="003B2049">
        <w:rPr>
          <w:rFonts w:ascii="Times New Roman" w:hAnsi="Times New Roman" w:hint="cs"/>
          <w:sz w:val="24"/>
          <w:rtl/>
        </w:rPr>
        <w:t>, ביטוח וחיסכון</w:t>
      </w:r>
      <w:r>
        <w:rPr>
          <w:rFonts w:ascii="Times New Roman" w:hAnsi="Times New Roman" w:hint="cs"/>
          <w:sz w:val="24"/>
          <w:rtl/>
        </w:rPr>
        <w:t xml:space="preserve"> אחראית, בין היתר, לקידום יישום והתאמת דירקטיבת </w:t>
      </w:r>
      <w:r>
        <w:rPr>
          <w:rFonts w:ascii="Times New Roman" w:hAnsi="Times New Roman"/>
          <w:sz w:val="24"/>
        </w:rPr>
        <w:t>Solvency 2</w:t>
      </w:r>
      <w:r>
        <w:rPr>
          <w:rFonts w:ascii="Times New Roman" w:hAnsi="Times New Roman" w:hint="cs"/>
          <w:sz w:val="24"/>
          <w:rtl/>
        </w:rPr>
        <w:t xml:space="preserve"> </w:t>
      </w:r>
      <w:r w:rsidR="00B30AF5">
        <w:rPr>
          <w:rFonts w:ascii="Times New Roman" w:hAnsi="Times New Roman" w:hint="cs"/>
          <w:sz w:val="24"/>
          <w:rtl/>
        </w:rPr>
        <w:t xml:space="preserve">האירופאית </w:t>
      </w:r>
      <w:r>
        <w:rPr>
          <w:rFonts w:ascii="Times New Roman" w:hAnsi="Times New Roman" w:hint="cs"/>
          <w:sz w:val="24"/>
          <w:rtl/>
        </w:rPr>
        <w:t>לשוק הביטוח המקומי.</w:t>
      </w:r>
    </w:p>
    <w:p w:rsidR="009C5931" w:rsidRDefault="009C5931" w:rsidP="00B30AF5">
      <w:pPr>
        <w:spacing w:after="120" w:line="360" w:lineRule="auto"/>
        <w:rPr>
          <w:rFonts w:ascii="Times New Roman" w:hAnsi="Times New Roman"/>
          <w:sz w:val="24"/>
          <w:rtl/>
        </w:rPr>
      </w:pPr>
      <w:r>
        <w:rPr>
          <w:rFonts w:ascii="Times New Roman" w:hAnsi="Times New Roman" w:hint="cs"/>
          <w:sz w:val="24"/>
          <w:rtl/>
        </w:rPr>
        <w:t>תהליך יישום הדירקטיבה נמצא בעיצומו באירופה</w:t>
      </w:r>
      <w:r w:rsidR="00B30AF5">
        <w:rPr>
          <w:rFonts w:ascii="Times New Roman" w:hAnsi="Times New Roman" w:hint="cs"/>
          <w:sz w:val="24"/>
          <w:rtl/>
        </w:rPr>
        <w:t xml:space="preserve"> וקיימת </w:t>
      </w:r>
      <w:r>
        <w:rPr>
          <w:rFonts w:ascii="Times New Roman" w:hAnsi="Times New Roman" w:hint="cs"/>
          <w:sz w:val="24"/>
          <w:rtl/>
        </w:rPr>
        <w:t xml:space="preserve">חשיבות </w:t>
      </w:r>
      <w:r w:rsidR="00012637">
        <w:rPr>
          <w:rFonts w:ascii="Times New Roman" w:hAnsi="Times New Roman" w:hint="cs"/>
          <w:sz w:val="24"/>
          <w:rtl/>
        </w:rPr>
        <w:t>גבוהה ל</w:t>
      </w:r>
      <w:r>
        <w:rPr>
          <w:rFonts w:ascii="Times New Roman" w:hAnsi="Times New Roman" w:hint="cs"/>
          <w:sz w:val="24"/>
          <w:rtl/>
        </w:rPr>
        <w:t xml:space="preserve">קבלת עדכונים שוטפים </w:t>
      </w:r>
      <w:r>
        <w:rPr>
          <w:rFonts w:ascii="Times New Roman" w:hAnsi="Times New Roman"/>
          <w:sz w:val="24"/>
          <w:rtl/>
        </w:rPr>
        <w:t>–</w:t>
      </w:r>
      <w:r>
        <w:rPr>
          <w:rFonts w:ascii="Times New Roman" w:hAnsi="Times New Roman" w:hint="cs"/>
          <w:sz w:val="24"/>
          <w:rtl/>
        </w:rPr>
        <w:t xml:space="preserve"> פורמליים ובלתי פורמליים על סטטוס היישום של התהליך. </w:t>
      </w:r>
    </w:p>
    <w:p w:rsidR="009C5931" w:rsidRDefault="009C5931" w:rsidP="009C5931">
      <w:pPr>
        <w:spacing w:after="120" w:line="360" w:lineRule="auto"/>
        <w:rPr>
          <w:rFonts w:ascii="Times New Roman" w:hAnsi="Times New Roman"/>
          <w:sz w:val="24"/>
          <w:rtl/>
        </w:rPr>
      </w:pPr>
      <w:r>
        <w:rPr>
          <w:rFonts w:ascii="Times New Roman" w:hAnsi="Times New Roman" w:hint="cs"/>
          <w:sz w:val="24"/>
          <w:rtl/>
        </w:rPr>
        <w:t xml:space="preserve">המקורות המרכזיים לעדכונים פורמליים הם אתרי האינטרנט של נציבות האיחוד האירופי, ושל רשויות הפיקוח במדינות המיישמות את הדירקטיבה, כמו גם התכתבויות ומגעים עם נציגים של אותן רשויות. </w:t>
      </w:r>
    </w:p>
    <w:p w:rsidR="00B30AF5" w:rsidRDefault="009C5931" w:rsidP="009C5931">
      <w:pPr>
        <w:spacing w:after="120" w:line="360" w:lineRule="auto"/>
        <w:rPr>
          <w:rFonts w:ascii="Times New Roman" w:hAnsi="Times New Roman"/>
          <w:sz w:val="24"/>
          <w:rtl/>
        </w:rPr>
      </w:pPr>
      <w:r>
        <w:rPr>
          <w:rFonts w:ascii="Times New Roman" w:hAnsi="Times New Roman" w:hint="cs"/>
          <w:sz w:val="24"/>
          <w:rtl/>
        </w:rPr>
        <w:t xml:space="preserve">בנוסף, קיימת חשיבות רבה גם לעדכונים בלתי פורמליים לגבי התפתחויות חדשות ומגמות. כיום, המקור המרכזי למידע שכזה הוא האתר </w:t>
      </w:r>
      <w:r>
        <w:rPr>
          <w:rStyle w:val="af1"/>
          <w:rFonts w:ascii="Times New Roman" w:hAnsi="Times New Roman"/>
          <w:sz w:val="24"/>
          <w:rtl/>
        </w:rPr>
        <w:footnoteReference w:id="1"/>
      </w:r>
      <w:r w:rsidRPr="000A5924">
        <w:rPr>
          <w:rFonts w:ascii="Times New Roman" w:hAnsi="Times New Roman"/>
          <w:sz w:val="24"/>
        </w:rPr>
        <w:t>Insurance E</w:t>
      </w:r>
      <w:r>
        <w:rPr>
          <w:rFonts w:ascii="Times New Roman" w:hAnsi="Times New Roman"/>
          <w:sz w:val="24"/>
        </w:rPr>
        <w:t>R</w:t>
      </w:r>
      <w:r w:rsidRPr="000A5924">
        <w:rPr>
          <w:rFonts w:ascii="Times New Roman" w:hAnsi="Times New Roman"/>
          <w:sz w:val="24"/>
        </w:rPr>
        <w:t>M</w:t>
      </w:r>
      <w:r>
        <w:rPr>
          <w:rFonts w:ascii="Times New Roman" w:hAnsi="Times New Roman" w:hint="cs"/>
          <w:sz w:val="24"/>
          <w:rtl/>
        </w:rPr>
        <w:t xml:space="preserve">, אשר עוסק במגוון סוגיות הנוגעות לניהול סיכונים בחברות ביטוח, ומקדיש מאמץ ניכר באספקת מידע עדכני לגבי התפתחות תהליך יישום הדירקטיבה. עם זאת, ללא מנוי קבוע, יכולתנו להפיק תועלת מן האתר כמשתמש מזדמן מוגבלת מאד, ואנו נאלצים להסתפק בעיון בכותרות בלבד. </w:t>
      </w:r>
    </w:p>
    <w:p w:rsidR="003B2049" w:rsidRPr="003B2049" w:rsidRDefault="003B2049" w:rsidP="003B2049">
      <w:pPr>
        <w:spacing w:after="120" w:line="360" w:lineRule="auto"/>
        <w:rPr>
          <w:rFonts w:ascii="Times New Roman" w:hAnsi="Times New Roman"/>
          <w:sz w:val="24"/>
          <w:rtl/>
        </w:rPr>
      </w:pPr>
      <w:r w:rsidRPr="003B2049">
        <w:rPr>
          <w:rFonts w:ascii="Times New Roman" w:hAnsi="Times New Roman" w:hint="cs"/>
          <w:sz w:val="24"/>
          <w:rtl/>
        </w:rPr>
        <w:t>במסגרת רכישת המנוי לאתר האינטרנט ישלחו מידי שבוע עדכונים שוטפים למייל האישי של המשתמש הרשום ובכך יהיה ביכולתו להישאר מעודכן בכל הנוגע להתפתחויות השוטפות הקשורות לתחום פעולתו של האגף.</w:t>
      </w:r>
    </w:p>
    <w:p w:rsidR="003B2049" w:rsidRDefault="003B2049" w:rsidP="003B2049">
      <w:pPr>
        <w:spacing w:after="120" w:line="360" w:lineRule="auto"/>
        <w:rPr>
          <w:rFonts w:ascii="Times New Roman" w:hAnsi="Times New Roman"/>
          <w:sz w:val="24"/>
          <w:rtl/>
        </w:rPr>
      </w:pPr>
    </w:p>
    <w:p w:rsidR="00B30AF5" w:rsidRDefault="00B30AF5" w:rsidP="003B2049">
      <w:pPr>
        <w:spacing w:after="120" w:line="360" w:lineRule="auto"/>
        <w:rPr>
          <w:rFonts w:ascii="Times New Roman" w:hAnsi="Times New Roman"/>
          <w:sz w:val="24"/>
          <w:rtl/>
        </w:rPr>
      </w:pPr>
      <w:r>
        <w:rPr>
          <w:rFonts w:ascii="Times New Roman" w:hAnsi="Times New Roman" w:hint="cs"/>
          <w:sz w:val="24"/>
          <w:rtl/>
        </w:rPr>
        <w:t>בתחילת שנת 2014 ועדת המכרזים אישרה (פרוטוקול 2 בינואר 2014) התקשרות לשנתיים במחיר של 1,395 פאונד</w:t>
      </w:r>
      <w:r w:rsidR="009D5519">
        <w:rPr>
          <w:rFonts w:ascii="Times New Roman" w:hAnsi="Times New Roman" w:hint="cs"/>
          <w:sz w:val="24"/>
          <w:rtl/>
        </w:rPr>
        <w:t xml:space="preserve"> עד לסוף שנת </w:t>
      </w:r>
      <w:r w:rsidR="003B2049">
        <w:rPr>
          <w:rFonts w:ascii="Times New Roman" w:hAnsi="Times New Roman" w:hint="cs"/>
          <w:sz w:val="24"/>
          <w:rtl/>
        </w:rPr>
        <w:t>2015</w:t>
      </w:r>
      <w:r>
        <w:rPr>
          <w:rFonts w:ascii="Times New Roman" w:hAnsi="Times New Roman" w:hint="cs"/>
          <w:sz w:val="24"/>
          <w:rtl/>
        </w:rPr>
        <w:t xml:space="preserve">. </w:t>
      </w:r>
    </w:p>
    <w:p w:rsidR="009C5931" w:rsidRDefault="009C5931" w:rsidP="00B30AF5">
      <w:pPr>
        <w:spacing w:after="120" w:line="360" w:lineRule="auto"/>
        <w:rPr>
          <w:rFonts w:ascii="Times New Roman" w:hAnsi="Times New Roman"/>
          <w:sz w:val="24"/>
        </w:rPr>
      </w:pPr>
      <w:r w:rsidRPr="003739E9">
        <w:rPr>
          <w:rFonts w:ascii="Times New Roman" w:hAnsi="Times New Roman" w:hint="eastAsia"/>
          <w:b/>
          <w:bCs/>
          <w:sz w:val="24"/>
          <w:rtl/>
        </w:rPr>
        <w:t>לאור</w:t>
      </w:r>
      <w:r w:rsidRPr="003739E9">
        <w:rPr>
          <w:rFonts w:ascii="Times New Roman" w:hAnsi="Times New Roman"/>
          <w:b/>
          <w:bCs/>
          <w:sz w:val="24"/>
          <w:rtl/>
        </w:rPr>
        <w:t xml:space="preserve"> </w:t>
      </w:r>
      <w:r w:rsidRPr="003739E9">
        <w:rPr>
          <w:rFonts w:ascii="Times New Roman" w:hAnsi="Times New Roman" w:hint="eastAsia"/>
          <w:b/>
          <w:bCs/>
          <w:sz w:val="24"/>
          <w:rtl/>
        </w:rPr>
        <w:t>האמור</w:t>
      </w:r>
      <w:r w:rsidRPr="003739E9">
        <w:rPr>
          <w:rFonts w:ascii="Times New Roman" w:hAnsi="Times New Roman"/>
          <w:b/>
          <w:bCs/>
          <w:sz w:val="24"/>
          <w:rtl/>
        </w:rPr>
        <w:t xml:space="preserve"> </w:t>
      </w:r>
      <w:r w:rsidRPr="003739E9">
        <w:rPr>
          <w:rFonts w:ascii="Times New Roman" w:hAnsi="Times New Roman" w:hint="eastAsia"/>
          <w:b/>
          <w:bCs/>
          <w:sz w:val="24"/>
          <w:rtl/>
        </w:rPr>
        <w:t>לעיל</w:t>
      </w:r>
      <w:r w:rsidRPr="003739E9">
        <w:rPr>
          <w:rFonts w:ascii="Times New Roman" w:hAnsi="Times New Roman"/>
          <w:b/>
          <w:bCs/>
          <w:sz w:val="24"/>
          <w:rtl/>
        </w:rPr>
        <w:t xml:space="preserve">, </w:t>
      </w:r>
      <w:r w:rsidRPr="003739E9">
        <w:rPr>
          <w:rFonts w:ascii="Times New Roman" w:hAnsi="Times New Roman" w:hint="eastAsia"/>
          <w:b/>
          <w:bCs/>
          <w:sz w:val="24"/>
          <w:rtl/>
        </w:rPr>
        <w:t>הרינו</w:t>
      </w:r>
      <w:r w:rsidRPr="003739E9">
        <w:rPr>
          <w:rFonts w:ascii="Times New Roman" w:hAnsi="Times New Roman"/>
          <w:b/>
          <w:bCs/>
          <w:sz w:val="24"/>
          <w:rtl/>
        </w:rPr>
        <w:t xml:space="preserve"> </w:t>
      </w:r>
      <w:r w:rsidRPr="003739E9">
        <w:rPr>
          <w:rFonts w:ascii="Times New Roman" w:hAnsi="Times New Roman" w:hint="eastAsia"/>
          <w:b/>
          <w:bCs/>
          <w:sz w:val="24"/>
          <w:rtl/>
        </w:rPr>
        <w:t>מבקשים</w:t>
      </w:r>
      <w:r w:rsidRPr="003739E9">
        <w:rPr>
          <w:rFonts w:ascii="Times New Roman" w:hAnsi="Times New Roman"/>
          <w:b/>
          <w:bCs/>
          <w:sz w:val="24"/>
          <w:rtl/>
        </w:rPr>
        <w:t xml:space="preserve"> </w:t>
      </w:r>
      <w:r w:rsidRPr="003739E9">
        <w:rPr>
          <w:rFonts w:ascii="Times New Roman" w:hAnsi="Times New Roman" w:hint="eastAsia"/>
          <w:b/>
          <w:bCs/>
          <w:sz w:val="24"/>
          <w:rtl/>
        </w:rPr>
        <w:t>אישור</w:t>
      </w:r>
      <w:r w:rsidRPr="003739E9">
        <w:rPr>
          <w:rFonts w:ascii="Times New Roman" w:hAnsi="Times New Roman"/>
          <w:b/>
          <w:bCs/>
          <w:sz w:val="24"/>
          <w:rtl/>
        </w:rPr>
        <w:t xml:space="preserve"> </w:t>
      </w:r>
      <w:r w:rsidRPr="003739E9">
        <w:rPr>
          <w:rFonts w:ascii="Times New Roman" w:hAnsi="Times New Roman" w:hint="eastAsia"/>
          <w:b/>
          <w:bCs/>
          <w:sz w:val="24"/>
          <w:rtl/>
        </w:rPr>
        <w:t>לחדש</w:t>
      </w:r>
      <w:r w:rsidRPr="003739E9">
        <w:rPr>
          <w:rFonts w:ascii="Times New Roman" w:hAnsi="Times New Roman"/>
          <w:b/>
          <w:bCs/>
          <w:sz w:val="24"/>
          <w:rtl/>
        </w:rPr>
        <w:t xml:space="preserve"> </w:t>
      </w:r>
      <w:r w:rsidRPr="003739E9">
        <w:rPr>
          <w:rFonts w:ascii="Times New Roman" w:hAnsi="Times New Roman" w:hint="eastAsia"/>
          <w:b/>
          <w:bCs/>
          <w:sz w:val="24"/>
          <w:rtl/>
        </w:rPr>
        <w:t>מנוי</w:t>
      </w:r>
      <w:r w:rsidRPr="003739E9">
        <w:rPr>
          <w:rFonts w:ascii="Times New Roman" w:hAnsi="Times New Roman"/>
          <w:b/>
          <w:bCs/>
          <w:sz w:val="24"/>
          <w:rtl/>
        </w:rPr>
        <w:t xml:space="preserve"> </w:t>
      </w:r>
      <w:r w:rsidRPr="003739E9">
        <w:rPr>
          <w:rFonts w:ascii="Times New Roman" w:hAnsi="Times New Roman" w:hint="eastAsia"/>
          <w:b/>
          <w:bCs/>
          <w:sz w:val="24"/>
          <w:rtl/>
        </w:rPr>
        <w:t>לאתר</w:t>
      </w:r>
      <w:r w:rsidRPr="003739E9">
        <w:rPr>
          <w:rFonts w:ascii="Times New Roman" w:hAnsi="Times New Roman"/>
          <w:b/>
          <w:bCs/>
          <w:sz w:val="24"/>
          <w:rtl/>
        </w:rPr>
        <w:t xml:space="preserve"> </w:t>
      </w:r>
      <w:r w:rsidRPr="003739E9">
        <w:rPr>
          <w:rFonts w:ascii="Times New Roman" w:hAnsi="Times New Roman" w:hint="eastAsia"/>
          <w:b/>
          <w:bCs/>
          <w:sz w:val="24"/>
          <w:rtl/>
        </w:rPr>
        <w:t>אינטרנט</w:t>
      </w:r>
      <w:r w:rsidRPr="003739E9">
        <w:rPr>
          <w:rFonts w:ascii="Times New Roman" w:hAnsi="Times New Roman"/>
          <w:b/>
          <w:bCs/>
          <w:sz w:val="24"/>
          <w:rtl/>
        </w:rPr>
        <w:t xml:space="preserve"> </w:t>
      </w:r>
      <w:r w:rsidRPr="003739E9">
        <w:rPr>
          <w:rFonts w:ascii="Times New Roman" w:hAnsi="Times New Roman" w:hint="eastAsia"/>
          <w:b/>
          <w:bCs/>
          <w:sz w:val="24"/>
          <w:rtl/>
        </w:rPr>
        <w:t>זה</w:t>
      </w:r>
      <w:r w:rsidRPr="003739E9">
        <w:rPr>
          <w:rFonts w:ascii="Times New Roman" w:hAnsi="Times New Roman"/>
          <w:b/>
          <w:bCs/>
          <w:sz w:val="24"/>
          <w:rtl/>
        </w:rPr>
        <w:t xml:space="preserve">, </w:t>
      </w:r>
      <w:r w:rsidRPr="003739E9">
        <w:rPr>
          <w:rFonts w:ascii="Times New Roman" w:hAnsi="Times New Roman" w:hint="eastAsia"/>
          <w:b/>
          <w:bCs/>
          <w:sz w:val="24"/>
          <w:rtl/>
        </w:rPr>
        <w:t>אשר</w:t>
      </w:r>
      <w:r w:rsidRPr="003739E9">
        <w:rPr>
          <w:rFonts w:ascii="Times New Roman" w:hAnsi="Times New Roman"/>
          <w:b/>
          <w:bCs/>
          <w:sz w:val="24"/>
          <w:rtl/>
        </w:rPr>
        <w:t xml:space="preserve"> </w:t>
      </w:r>
      <w:r w:rsidRPr="003739E9">
        <w:rPr>
          <w:rFonts w:ascii="Times New Roman" w:hAnsi="Times New Roman" w:hint="eastAsia"/>
          <w:b/>
          <w:bCs/>
          <w:sz w:val="24"/>
          <w:rtl/>
        </w:rPr>
        <w:t>כתובתו</w:t>
      </w:r>
      <w:r>
        <w:rPr>
          <w:rFonts w:ascii="Times New Roman" w:hAnsi="Times New Roman" w:hint="cs"/>
          <w:sz w:val="24"/>
          <w:rtl/>
        </w:rPr>
        <w:t>:</w:t>
      </w:r>
    </w:p>
    <w:p w:rsidR="009C5931" w:rsidRPr="00FD308E" w:rsidRDefault="006E6372" w:rsidP="009C5931">
      <w:pPr>
        <w:spacing w:after="120" w:line="360" w:lineRule="auto"/>
        <w:rPr>
          <w:rFonts w:asciiTheme="minorBidi" w:hAnsiTheme="minorBidi" w:cstheme="minorBidi"/>
          <w:sz w:val="22"/>
          <w:szCs w:val="22"/>
          <w:rtl/>
        </w:rPr>
      </w:pPr>
      <w:hyperlink r:id="rId9" w:history="1">
        <w:r w:rsidR="009C5931" w:rsidRPr="00FD308E">
          <w:rPr>
            <w:rStyle w:val="Hyperlink"/>
            <w:rFonts w:asciiTheme="minorBidi" w:hAnsiTheme="minorBidi" w:cstheme="minorBidi"/>
            <w:sz w:val="22"/>
            <w:szCs w:val="22"/>
          </w:rPr>
          <w:t>http://www.insuranceerm.com/</w:t>
        </w:r>
      </w:hyperlink>
    </w:p>
    <w:p w:rsidR="009C5931" w:rsidRDefault="009C5931" w:rsidP="009C5931">
      <w:pPr>
        <w:spacing w:before="120" w:after="120" w:line="360" w:lineRule="auto"/>
        <w:rPr>
          <w:rFonts w:ascii="Times New Roman" w:hAnsi="Times New Roman"/>
          <w:b/>
          <w:bCs/>
          <w:sz w:val="24"/>
          <w:u w:val="single"/>
          <w:rtl/>
        </w:rPr>
      </w:pPr>
    </w:p>
    <w:p w:rsidR="009C5931" w:rsidRPr="009C5931" w:rsidRDefault="009C5931" w:rsidP="009C5931">
      <w:pPr>
        <w:spacing w:before="120" w:after="120" w:line="360" w:lineRule="auto"/>
        <w:rPr>
          <w:rFonts w:ascii="Times New Roman" w:hAnsi="Times New Roman"/>
          <w:b/>
          <w:bCs/>
          <w:sz w:val="24"/>
          <w:u w:val="single"/>
          <w:rtl/>
        </w:rPr>
      </w:pPr>
      <w:r>
        <w:rPr>
          <w:rFonts w:ascii="Times New Roman" w:hAnsi="Times New Roman" w:hint="cs"/>
          <w:b/>
          <w:bCs/>
          <w:sz w:val="24"/>
          <w:u w:val="single"/>
          <w:rtl/>
        </w:rPr>
        <w:t xml:space="preserve">כוונת התקשרות עם </w:t>
      </w:r>
      <w:r>
        <w:rPr>
          <w:rFonts w:ascii="Times New Roman" w:hAnsi="Times New Roman"/>
          <w:b/>
          <w:bCs/>
          <w:sz w:val="24"/>
          <w:u w:val="single"/>
        </w:rPr>
        <w:t xml:space="preserve">ERM </w:t>
      </w:r>
      <w:r>
        <w:rPr>
          <w:rFonts w:ascii="Times New Roman" w:hAnsi="Times New Roman" w:hint="cs"/>
          <w:b/>
          <w:bCs/>
          <w:sz w:val="24"/>
          <w:u w:val="single"/>
          <w:rtl/>
        </w:rPr>
        <w:t xml:space="preserve"> כספק יחיד</w:t>
      </w:r>
    </w:p>
    <w:p w:rsidR="009C5931" w:rsidRPr="00DB00DF" w:rsidRDefault="009C5931" w:rsidP="009F2C30">
      <w:pPr>
        <w:spacing w:before="120" w:after="120" w:line="360" w:lineRule="auto"/>
        <w:ind w:left="515"/>
        <w:rPr>
          <w:rFonts w:ascii="Times New Roman" w:hAnsi="Times New Roman"/>
          <w:sz w:val="24"/>
        </w:rPr>
      </w:pPr>
    </w:p>
    <w:p w:rsidR="00044418" w:rsidRPr="00DB00DF" w:rsidRDefault="00044418" w:rsidP="00ED18F6">
      <w:pPr>
        <w:spacing w:before="120" w:after="120" w:line="360" w:lineRule="auto"/>
        <w:ind w:left="515"/>
        <w:rPr>
          <w:rFonts w:ascii="Times New Roman" w:hAnsi="Times New Roman"/>
          <w:sz w:val="24"/>
          <w:rtl/>
        </w:rPr>
      </w:pPr>
      <w:r w:rsidRPr="00DB00DF">
        <w:rPr>
          <w:rFonts w:ascii="Times New Roman" w:hAnsi="Times New Roman" w:hint="cs"/>
          <w:b/>
          <w:bCs/>
          <w:sz w:val="24"/>
          <w:rtl/>
        </w:rPr>
        <w:t>תקופת ההתקשרות</w:t>
      </w:r>
      <w:r w:rsidRPr="00DB00DF">
        <w:rPr>
          <w:rFonts w:ascii="Times New Roman" w:hAnsi="Times New Roman" w:hint="cs"/>
          <w:sz w:val="24"/>
          <w:rtl/>
        </w:rPr>
        <w:t xml:space="preserve"> : </w:t>
      </w:r>
      <w:r w:rsidR="00ED18F6">
        <w:rPr>
          <w:rFonts w:ascii="Times New Roman" w:hAnsi="Times New Roman" w:hint="cs"/>
          <w:sz w:val="24"/>
          <w:rtl/>
        </w:rPr>
        <w:t>24</w:t>
      </w:r>
      <w:r w:rsidRPr="00DB00DF">
        <w:rPr>
          <w:rFonts w:ascii="Times New Roman" w:hAnsi="Times New Roman" w:hint="cs"/>
          <w:sz w:val="24"/>
          <w:rtl/>
        </w:rPr>
        <w:t xml:space="preserve"> חודשים</w:t>
      </w:r>
      <w:r w:rsidR="00ED18F6">
        <w:rPr>
          <w:rFonts w:ascii="Times New Roman" w:hAnsi="Times New Roman" w:hint="cs"/>
          <w:sz w:val="24"/>
          <w:rtl/>
        </w:rPr>
        <w:t xml:space="preserve"> </w:t>
      </w:r>
      <w:r w:rsidR="00ED18F6" w:rsidRPr="006B0E5C">
        <w:rPr>
          <w:rFonts w:ascii="Times New Roman" w:hAnsi="Times New Roman" w:hint="cs"/>
          <w:sz w:val="24"/>
          <w:rtl/>
        </w:rPr>
        <w:t>(עם אופציה להארכה</w:t>
      </w:r>
      <w:r w:rsidR="009C5931">
        <w:rPr>
          <w:rFonts w:ascii="Times New Roman" w:hAnsi="Times New Roman" w:hint="cs"/>
          <w:sz w:val="24"/>
          <w:rtl/>
        </w:rPr>
        <w:t xml:space="preserve"> לשנתיים נוספות</w:t>
      </w:r>
      <w:r w:rsidR="00ED18F6" w:rsidRPr="006B0E5C">
        <w:rPr>
          <w:rFonts w:ascii="Times New Roman" w:hAnsi="Times New Roman" w:hint="cs"/>
          <w:sz w:val="24"/>
          <w:rtl/>
        </w:rPr>
        <w:t>)</w:t>
      </w:r>
      <w:r w:rsidR="003739E9">
        <w:rPr>
          <w:rFonts w:ascii="Times New Roman" w:hAnsi="Times New Roman" w:hint="cs"/>
          <w:sz w:val="24"/>
          <w:rtl/>
        </w:rPr>
        <w:t>.</w:t>
      </w:r>
    </w:p>
    <w:p w:rsidR="00044418" w:rsidRPr="00DB00DF" w:rsidRDefault="00044418" w:rsidP="00BB5E0C">
      <w:pPr>
        <w:spacing w:before="120" w:after="120" w:line="360" w:lineRule="auto"/>
        <w:ind w:left="515"/>
        <w:rPr>
          <w:rFonts w:ascii="Times New Roman" w:hAnsi="Times New Roman"/>
          <w:sz w:val="24"/>
          <w:rtl/>
        </w:rPr>
      </w:pPr>
      <w:r w:rsidRPr="00DB00DF">
        <w:rPr>
          <w:rFonts w:ascii="Times New Roman" w:hAnsi="Times New Roman" w:hint="cs"/>
          <w:b/>
          <w:bCs/>
          <w:sz w:val="24"/>
          <w:rtl/>
        </w:rPr>
        <w:t>היקף כספי</w:t>
      </w:r>
      <w:r w:rsidRPr="00DB00DF">
        <w:rPr>
          <w:rFonts w:ascii="Times New Roman" w:hAnsi="Times New Roman" w:hint="cs"/>
          <w:sz w:val="24"/>
          <w:rtl/>
        </w:rPr>
        <w:t xml:space="preserve"> : כ-</w:t>
      </w:r>
      <w:r w:rsidR="00ED18F6">
        <w:rPr>
          <w:rFonts w:ascii="Times New Roman" w:hAnsi="Times New Roman" w:hint="cs"/>
          <w:sz w:val="24"/>
          <w:rtl/>
        </w:rPr>
        <w:t>8,</w:t>
      </w:r>
      <w:r w:rsidR="00BB5E0C">
        <w:rPr>
          <w:rFonts w:ascii="Times New Roman" w:hAnsi="Times New Roman" w:hint="cs"/>
          <w:sz w:val="24"/>
          <w:rtl/>
        </w:rPr>
        <w:t>4</w:t>
      </w:r>
      <w:r w:rsidR="00ED18F6">
        <w:rPr>
          <w:rFonts w:ascii="Times New Roman" w:hAnsi="Times New Roman" w:hint="cs"/>
          <w:sz w:val="24"/>
          <w:rtl/>
        </w:rPr>
        <w:t>00</w:t>
      </w:r>
      <w:r w:rsidRPr="00DB00DF">
        <w:rPr>
          <w:rFonts w:ascii="Times New Roman" w:hAnsi="Times New Roman" w:hint="cs"/>
          <w:sz w:val="24"/>
          <w:rtl/>
        </w:rPr>
        <w:t xml:space="preserve"> </w:t>
      </w:r>
      <w:r w:rsidR="00ED18F6">
        <w:rPr>
          <w:rFonts w:ascii="Times New Roman" w:hAnsi="Times New Roman" w:hint="cs"/>
          <w:sz w:val="24"/>
          <w:rtl/>
        </w:rPr>
        <w:t>₪</w:t>
      </w:r>
      <w:r w:rsidR="00215723">
        <w:rPr>
          <w:rFonts w:ascii="Times New Roman" w:hAnsi="Times New Roman" w:hint="cs"/>
          <w:sz w:val="24"/>
          <w:rtl/>
        </w:rPr>
        <w:t xml:space="preserve"> לשנתיים</w:t>
      </w:r>
      <w:r w:rsidR="00ED18F6">
        <w:rPr>
          <w:rFonts w:ascii="Times New Roman" w:hAnsi="Times New Roman" w:hint="cs"/>
          <w:sz w:val="24"/>
          <w:rtl/>
        </w:rPr>
        <w:t xml:space="preserve"> </w:t>
      </w:r>
      <w:r w:rsidR="009C5931" w:rsidRPr="009C5931">
        <w:rPr>
          <w:rFonts w:ascii="Times New Roman" w:hAnsi="Times New Roman" w:hint="cs"/>
          <w:i/>
          <w:iCs/>
          <w:sz w:val="24"/>
          <w:rtl/>
        </w:rPr>
        <w:t>ראה נספח א'</w:t>
      </w:r>
      <w:r w:rsidR="00215723">
        <w:rPr>
          <w:rFonts w:ascii="Times New Roman" w:hAnsi="Times New Roman" w:hint="cs"/>
          <w:sz w:val="24"/>
          <w:rtl/>
        </w:rPr>
        <w:t xml:space="preserve"> (1,395 פאונד).</w:t>
      </w:r>
    </w:p>
    <w:p w:rsidR="00044418" w:rsidRPr="00DB00DF" w:rsidRDefault="00044418" w:rsidP="00044418">
      <w:pPr>
        <w:numPr>
          <w:ilvl w:val="0"/>
          <w:numId w:val="8"/>
        </w:numPr>
        <w:spacing w:before="120" w:after="120" w:line="360" w:lineRule="auto"/>
        <w:ind w:left="515" w:hanging="425"/>
        <w:rPr>
          <w:rFonts w:ascii="Times New Roman" w:hAnsi="Times New Roman"/>
          <w:sz w:val="24"/>
        </w:rPr>
      </w:pPr>
      <w:r w:rsidRPr="00DB00DF">
        <w:rPr>
          <w:rFonts w:ascii="Times New Roman" w:hAnsi="Times New Roman" w:hint="cs"/>
          <w:sz w:val="24"/>
          <w:rtl/>
        </w:rPr>
        <w:t>בהתאם למידע המצוי במשרד האוצר, חברת "</w:t>
      </w:r>
      <w:r w:rsidRPr="00DB00DF">
        <w:rPr>
          <w:rFonts w:ascii="Times New Roman" w:hAnsi="Times New Roman"/>
          <w:sz w:val="24"/>
        </w:rPr>
        <w:t>Insurance ERM</w:t>
      </w:r>
      <w:r w:rsidRPr="00DB00DF">
        <w:rPr>
          <w:rFonts w:ascii="Times New Roman" w:hAnsi="Times New Roman" w:hint="cs"/>
          <w:sz w:val="24"/>
          <w:rtl/>
        </w:rPr>
        <w:t>" הינה הספק היחיד המתאים והמסוגל לספק את  השירות האמור בסעיף 1  לעיל.</w:t>
      </w:r>
    </w:p>
    <w:p w:rsidR="00044418" w:rsidRPr="00ED1502" w:rsidRDefault="00044418" w:rsidP="00044418">
      <w:pPr>
        <w:spacing w:line="300" w:lineRule="auto"/>
        <w:rPr>
          <w:rFonts w:ascii="Times New Roman" w:hAnsi="Times New Roman"/>
          <w:sz w:val="16"/>
          <w:szCs w:val="16"/>
          <w:rtl/>
        </w:rPr>
      </w:pPr>
    </w:p>
    <w:p w:rsidR="00044418" w:rsidRPr="00ED1502" w:rsidRDefault="00044418" w:rsidP="00044418">
      <w:pPr>
        <w:tabs>
          <w:tab w:val="center" w:pos="3093"/>
          <w:tab w:val="center" w:pos="5973"/>
        </w:tabs>
        <w:spacing w:line="360" w:lineRule="auto"/>
        <w:jc w:val="left"/>
        <w:rPr>
          <w:sz w:val="24"/>
          <w:rtl/>
        </w:rPr>
      </w:pPr>
      <w:r w:rsidRPr="00ED1502">
        <w:rPr>
          <w:rFonts w:ascii="Times New Roman" w:hAnsi="Times New Roman"/>
          <w:sz w:val="24"/>
          <w:rtl/>
        </w:rPr>
        <w:tab/>
      </w:r>
      <w:r w:rsidRPr="00ED1502">
        <w:rPr>
          <w:sz w:val="24"/>
          <w:rtl/>
        </w:rPr>
        <w:tab/>
        <w:t>ב</w:t>
      </w:r>
      <w:r w:rsidRPr="00ED1502">
        <w:rPr>
          <w:sz w:val="24"/>
        </w:rPr>
        <w:t xml:space="preserve"> </w:t>
      </w:r>
      <w:proofErr w:type="spellStart"/>
      <w:r w:rsidRPr="00ED1502">
        <w:rPr>
          <w:sz w:val="24"/>
          <w:rtl/>
        </w:rPr>
        <w:t>ב</w:t>
      </w:r>
      <w:proofErr w:type="spellEnd"/>
      <w:r w:rsidRPr="00ED1502">
        <w:rPr>
          <w:sz w:val="24"/>
        </w:rPr>
        <w:t xml:space="preserve"> </w:t>
      </w:r>
      <w:r w:rsidRPr="00ED1502">
        <w:rPr>
          <w:sz w:val="24"/>
          <w:rtl/>
        </w:rPr>
        <w:t>ר</w:t>
      </w:r>
      <w:r w:rsidRPr="00ED1502">
        <w:rPr>
          <w:sz w:val="24"/>
        </w:rPr>
        <w:t xml:space="preserve"> </w:t>
      </w:r>
      <w:r w:rsidRPr="00ED1502">
        <w:rPr>
          <w:sz w:val="24"/>
          <w:rtl/>
        </w:rPr>
        <w:t>כ</w:t>
      </w:r>
      <w:r w:rsidRPr="00ED1502">
        <w:rPr>
          <w:sz w:val="24"/>
        </w:rPr>
        <w:t xml:space="preserve"> </w:t>
      </w:r>
      <w:r w:rsidRPr="00ED1502">
        <w:rPr>
          <w:sz w:val="24"/>
          <w:rtl/>
        </w:rPr>
        <w:t>ה,</w:t>
      </w:r>
    </w:p>
    <w:p w:rsidR="00044418" w:rsidRPr="00ED1502" w:rsidRDefault="00044418" w:rsidP="00044418">
      <w:pPr>
        <w:tabs>
          <w:tab w:val="center" w:pos="3093"/>
          <w:tab w:val="center" w:pos="5973"/>
        </w:tabs>
        <w:spacing w:line="360" w:lineRule="auto"/>
        <w:jc w:val="left"/>
        <w:rPr>
          <w:sz w:val="24"/>
          <w:rtl/>
        </w:rPr>
      </w:pPr>
    </w:p>
    <w:p w:rsidR="00BC2B76" w:rsidRDefault="00BC2B76" w:rsidP="00044418">
      <w:pPr>
        <w:tabs>
          <w:tab w:val="center" w:pos="3093"/>
          <w:tab w:val="center" w:pos="5973"/>
        </w:tabs>
        <w:spacing w:line="360" w:lineRule="auto"/>
        <w:jc w:val="left"/>
        <w:rPr>
          <w:sz w:val="24"/>
          <w:rtl/>
        </w:rPr>
      </w:pPr>
      <w:bookmarkStart w:id="6" w:name="SignedBy"/>
      <w:bookmarkEnd w:id="6"/>
      <w:r>
        <w:rPr>
          <w:sz w:val="24"/>
          <w:rtl/>
        </w:rPr>
        <w:tab/>
      </w:r>
      <w:r>
        <w:rPr>
          <w:sz w:val="24"/>
          <w:rtl/>
        </w:rPr>
        <w:tab/>
      </w:r>
      <w:r>
        <w:rPr>
          <w:rFonts w:hint="eastAsia"/>
          <w:sz w:val="24"/>
          <w:rtl/>
        </w:rPr>
        <w:t>רמי</w:t>
      </w:r>
      <w:r>
        <w:rPr>
          <w:sz w:val="24"/>
          <w:rtl/>
        </w:rPr>
        <w:t xml:space="preserve"> </w:t>
      </w:r>
      <w:r>
        <w:rPr>
          <w:rFonts w:hint="eastAsia"/>
          <w:sz w:val="24"/>
          <w:rtl/>
        </w:rPr>
        <w:t>לוי</w:t>
      </w:r>
      <w:r>
        <w:rPr>
          <w:sz w:val="24"/>
          <w:rtl/>
        </w:rPr>
        <w:br/>
      </w:r>
      <w:r>
        <w:rPr>
          <w:sz w:val="24"/>
          <w:rtl/>
        </w:rPr>
        <w:tab/>
      </w:r>
      <w:r>
        <w:rPr>
          <w:sz w:val="24"/>
          <w:rtl/>
        </w:rPr>
        <w:tab/>
      </w:r>
      <w:r>
        <w:rPr>
          <w:rFonts w:hint="eastAsia"/>
          <w:sz w:val="24"/>
          <w:rtl/>
        </w:rPr>
        <w:t>מנהל</w:t>
      </w:r>
      <w:r>
        <w:rPr>
          <w:sz w:val="24"/>
          <w:rtl/>
        </w:rPr>
        <w:t xml:space="preserve"> </w:t>
      </w:r>
      <w:r>
        <w:rPr>
          <w:rFonts w:hint="eastAsia"/>
          <w:sz w:val="24"/>
          <w:rtl/>
        </w:rPr>
        <w:t>מחלקת</w:t>
      </w:r>
      <w:r>
        <w:rPr>
          <w:sz w:val="24"/>
          <w:rtl/>
        </w:rPr>
        <w:t xml:space="preserve"> </w:t>
      </w:r>
      <w:proofErr w:type="spellStart"/>
      <w:r>
        <w:rPr>
          <w:rFonts w:hint="eastAsia"/>
          <w:sz w:val="24"/>
          <w:rtl/>
        </w:rPr>
        <w:t>סולבנסי</w:t>
      </w:r>
      <w:proofErr w:type="spellEnd"/>
      <w:r>
        <w:rPr>
          <w:sz w:val="24"/>
          <w:rtl/>
        </w:rPr>
        <w:t xml:space="preserve"> </w:t>
      </w:r>
      <w:r>
        <w:rPr>
          <w:sz w:val="24"/>
        </w:rPr>
        <w:t>II</w:t>
      </w:r>
    </w:p>
    <w:p w:rsidR="00044418" w:rsidRPr="00ED1502" w:rsidRDefault="00044418" w:rsidP="00044418">
      <w:pPr>
        <w:spacing w:line="360" w:lineRule="auto"/>
        <w:jc w:val="left"/>
        <w:rPr>
          <w:sz w:val="24"/>
          <w:rtl/>
        </w:rPr>
      </w:pPr>
    </w:p>
    <w:p w:rsidR="00044418" w:rsidRPr="00ED1502" w:rsidRDefault="00044418" w:rsidP="00044418">
      <w:pPr>
        <w:spacing w:line="360" w:lineRule="auto"/>
        <w:jc w:val="left"/>
        <w:rPr>
          <w:sz w:val="24"/>
          <w:rtl/>
        </w:rPr>
      </w:pPr>
      <w:r w:rsidRPr="00ED1502">
        <w:rPr>
          <w:sz w:val="24"/>
          <w:rtl/>
        </w:rPr>
        <w:t>העתק:</w:t>
      </w:r>
      <w:r w:rsidRPr="00ED1502">
        <w:rPr>
          <w:sz w:val="24"/>
          <w:rtl/>
        </w:rPr>
        <w:tab/>
      </w:r>
    </w:p>
    <w:p w:rsidR="00BC2B76" w:rsidRDefault="00BC2B76" w:rsidP="006B0E5C">
      <w:pPr>
        <w:spacing w:line="360" w:lineRule="auto"/>
        <w:jc w:val="left"/>
        <w:rPr>
          <w:sz w:val="24"/>
          <w:rtl/>
        </w:rPr>
      </w:pPr>
      <w:bookmarkStart w:id="7" w:name="OtherTo"/>
      <w:bookmarkEnd w:id="7"/>
      <w:r>
        <w:rPr>
          <w:rFonts w:hint="eastAsia"/>
          <w:sz w:val="24"/>
          <w:rtl/>
        </w:rPr>
        <w:t>מר</w:t>
      </w:r>
      <w:r>
        <w:rPr>
          <w:sz w:val="24"/>
          <w:rtl/>
        </w:rPr>
        <w:t xml:space="preserve"> </w:t>
      </w:r>
      <w:r>
        <w:rPr>
          <w:rFonts w:hint="eastAsia"/>
          <w:sz w:val="24"/>
          <w:rtl/>
        </w:rPr>
        <w:t>רוני</w:t>
      </w:r>
      <w:r>
        <w:rPr>
          <w:sz w:val="24"/>
          <w:rtl/>
        </w:rPr>
        <w:t xml:space="preserve"> </w:t>
      </w:r>
      <w:r>
        <w:rPr>
          <w:rFonts w:hint="eastAsia"/>
          <w:sz w:val="24"/>
          <w:rtl/>
        </w:rPr>
        <w:t>פרידמן</w:t>
      </w:r>
      <w:r>
        <w:rPr>
          <w:sz w:val="24"/>
          <w:rtl/>
        </w:rPr>
        <w:t xml:space="preserve"> - </w:t>
      </w:r>
      <w:r>
        <w:rPr>
          <w:rFonts w:hint="eastAsia"/>
          <w:sz w:val="24"/>
          <w:rtl/>
        </w:rPr>
        <w:t>משנה</w:t>
      </w:r>
      <w:r>
        <w:rPr>
          <w:sz w:val="24"/>
          <w:rtl/>
        </w:rPr>
        <w:t xml:space="preserve"> </w:t>
      </w:r>
      <w:r>
        <w:rPr>
          <w:rFonts w:hint="eastAsia"/>
          <w:sz w:val="24"/>
          <w:rtl/>
        </w:rPr>
        <w:t>למנכ</w:t>
      </w:r>
      <w:r>
        <w:rPr>
          <w:sz w:val="24"/>
          <w:rtl/>
        </w:rPr>
        <w:t>"</w:t>
      </w:r>
      <w:r>
        <w:rPr>
          <w:rFonts w:hint="eastAsia"/>
          <w:sz w:val="24"/>
          <w:rtl/>
        </w:rPr>
        <w:t>ל</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proofErr w:type="spellStart"/>
      <w:r>
        <w:rPr>
          <w:rFonts w:hint="eastAsia"/>
          <w:sz w:val="24"/>
          <w:rtl/>
        </w:rPr>
        <w:t>עו</w:t>
      </w:r>
      <w:proofErr w:type="spellEnd"/>
      <w:r>
        <w:rPr>
          <w:sz w:val="24"/>
          <w:rtl/>
        </w:rPr>
        <w:t>''</w:t>
      </w:r>
      <w:r>
        <w:rPr>
          <w:rFonts w:hint="eastAsia"/>
          <w:sz w:val="24"/>
          <w:rtl/>
        </w:rPr>
        <w:t>ד</w:t>
      </w:r>
      <w:r>
        <w:rPr>
          <w:sz w:val="24"/>
          <w:rtl/>
        </w:rPr>
        <w:t xml:space="preserve"> </w:t>
      </w:r>
      <w:r>
        <w:rPr>
          <w:rFonts w:hint="eastAsia"/>
          <w:sz w:val="24"/>
          <w:rtl/>
        </w:rPr>
        <w:t>רוני</w:t>
      </w:r>
      <w:r>
        <w:rPr>
          <w:sz w:val="24"/>
          <w:rtl/>
        </w:rPr>
        <w:t xml:space="preserve"> </w:t>
      </w:r>
      <w:r>
        <w:rPr>
          <w:rFonts w:hint="eastAsia"/>
          <w:sz w:val="24"/>
          <w:rtl/>
        </w:rPr>
        <w:t>מר</w:t>
      </w:r>
      <w:r>
        <w:rPr>
          <w:sz w:val="24"/>
          <w:rtl/>
        </w:rPr>
        <w:t xml:space="preserve"> - </w:t>
      </w:r>
      <w:r>
        <w:rPr>
          <w:rFonts w:hint="eastAsia"/>
          <w:sz w:val="24"/>
          <w:rtl/>
        </w:rPr>
        <w:t>הלשכה</w:t>
      </w:r>
      <w:r>
        <w:rPr>
          <w:sz w:val="24"/>
          <w:rtl/>
        </w:rPr>
        <w:t xml:space="preserve"> </w:t>
      </w:r>
      <w:r>
        <w:rPr>
          <w:rFonts w:hint="eastAsia"/>
          <w:sz w:val="24"/>
          <w:rtl/>
        </w:rPr>
        <w:t>המשפטית</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גב</w:t>
      </w:r>
      <w:r>
        <w:rPr>
          <w:sz w:val="24"/>
          <w:rtl/>
        </w:rPr>
        <w:t xml:space="preserve">' </w:t>
      </w:r>
      <w:r>
        <w:rPr>
          <w:rFonts w:hint="eastAsia"/>
          <w:sz w:val="24"/>
          <w:rtl/>
        </w:rPr>
        <w:t>מגי</w:t>
      </w:r>
      <w:r>
        <w:rPr>
          <w:sz w:val="24"/>
          <w:rtl/>
        </w:rPr>
        <w:t xml:space="preserve"> </w:t>
      </w:r>
      <w:r>
        <w:rPr>
          <w:rFonts w:hint="eastAsia"/>
          <w:sz w:val="24"/>
          <w:rtl/>
        </w:rPr>
        <w:t>בראום</w:t>
      </w:r>
      <w:r>
        <w:rPr>
          <w:sz w:val="24"/>
          <w:rtl/>
        </w:rPr>
        <w:t xml:space="preserve"> - </w:t>
      </w:r>
      <w:r>
        <w:rPr>
          <w:rFonts w:hint="eastAsia"/>
          <w:sz w:val="24"/>
          <w:rtl/>
        </w:rPr>
        <w:t>סגנית</w:t>
      </w:r>
      <w:r>
        <w:rPr>
          <w:sz w:val="24"/>
          <w:rtl/>
        </w:rPr>
        <w:t xml:space="preserve"> </w:t>
      </w:r>
      <w:r>
        <w:rPr>
          <w:rFonts w:hint="eastAsia"/>
          <w:sz w:val="24"/>
          <w:rtl/>
        </w:rPr>
        <w:t>בכירה</w:t>
      </w:r>
      <w:r>
        <w:rPr>
          <w:sz w:val="24"/>
          <w:rtl/>
        </w:rPr>
        <w:t xml:space="preserve"> </w:t>
      </w:r>
      <w:r>
        <w:rPr>
          <w:rFonts w:hint="eastAsia"/>
          <w:sz w:val="24"/>
          <w:rtl/>
        </w:rPr>
        <w:t>לממונה</w:t>
      </w:r>
      <w:r>
        <w:rPr>
          <w:sz w:val="24"/>
          <w:rtl/>
        </w:rPr>
        <w:t xml:space="preserve"> </w:t>
      </w:r>
      <w:r>
        <w:rPr>
          <w:rFonts w:hint="eastAsia"/>
          <w:sz w:val="24"/>
          <w:rtl/>
        </w:rPr>
        <w:t>על</w:t>
      </w:r>
      <w:r>
        <w:rPr>
          <w:sz w:val="24"/>
          <w:rtl/>
        </w:rPr>
        <w:t xml:space="preserve"> </w:t>
      </w:r>
      <w:r>
        <w:rPr>
          <w:rFonts w:hint="eastAsia"/>
          <w:sz w:val="24"/>
          <w:rtl/>
        </w:rPr>
        <w:t>שוק</w:t>
      </w:r>
      <w:r>
        <w:rPr>
          <w:sz w:val="24"/>
          <w:rtl/>
        </w:rPr>
        <w:t xml:space="preserve"> </w:t>
      </w:r>
      <w:r>
        <w:rPr>
          <w:rFonts w:hint="eastAsia"/>
          <w:sz w:val="24"/>
          <w:rtl/>
        </w:rPr>
        <w:t>ההון</w:t>
      </w:r>
      <w:r>
        <w:rPr>
          <w:sz w:val="24"/>
          <w:rtl/>
        </w:rPr>
        <w:t xml:space="preserve"> </w:t>
      </w:r>
      <w:r>
        <w:rPr>
          <w:rFonts w:hint="eastAsia"/>
          <w:sz w:val="24"/>
          <w:rtl/>
        </w:rPr>
        <w:t>ביטוח</w:t>
      </w:r>
      <w:r>
        <w:rPr>
          <w:sz w:val="24"/>
          <w:rtl/>
        </w:rPr>
        <w:t xml:space="preserve"> </w:t>
      </w:r>
      <w:r>
        <w:rPr>
          <w:rFonts w:hint="eastAsia"/>
          <w:sz w:val="24"/>
          <w:rtl/>
        </w:rPr>
        <w:t>וחיסכון</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גב</w:t>
      </w:r>
      <w:r>
        <w:rPr>
          <w:sz w:val="24"/>
          <w:rtl/>
        </w:rPr>
        <w:t xml:space="preserve">' </w:t>
      </w:r>
      <w:r>
        <w:rPr>
          <w:rFonts w:hint="eastAsia"/>
          <w:sz w:val="24"/>
          <w:rtl/>
        </w:rPr>
        <w:t>יונית</w:t>
      </w:r>
      <w:r>
        <w:rPr>
          <w:sz w:val="24"/>
          <w:rtl/>
        </w:rPr>
        <w:t xml:space="preserve"> </w:t>
      </w:r>
      <w:r>
        <w:rPr>
          <w:rFonts w:hint="eastAsia"/>
          <w:sz w:val="24"/>
          <w:rtl/>
        </w:rPr>
        <w:t>מנשה</w:t>
      </w:r>
      <w:r>
        <w:rPr>
          <w:sz w:val="24"/>
          <w:rtl/>
        </w:rPr>
        <w:t xml:space="preserve"> - </w:t>
      </w:r>
      <w:r>
        <w:rPr>
          <w:rFonts w:hint="eastAsia"/>
          <w:sz w:val="24"/>
          <w:rtl/>
        </w:rPr>
        <w:t>מנהלת</w:t>
      </w:r>
      <w:r>
        <w:rPr>
          <w:sz w:val="24"/>
          <w:rtl/>
        </w:rPr>
        <w:t xml:space="preserve"> </w:t>
      </w:r>
      <w:r>
        <w:rPr>
          <w:rFonts w:hint="eastAsia"/>
          <w:sz w:val="24"/>
          <w:rtl/>
        </w:rPr>
        <w:t>תחום</w:t>
      </w:r>
      <w:r>
        <w:rPr>
          <w:sz w:val="24"/>
          <w:rtl/>
        </w:rPr>
        <w:t xml:space="preserve"> (</w:t>
      </w:r>
      <w:r>
        <w:rPr>
          <w:rFonts w:hint="eastAsia"/>
          <w:sz w:val="24"/>
          <w:rtl/>
        </w:rPr>
        <w:t>מטה</w:t>
      </w:r>
      <w:r>
        <w:rPr>
          <w:sz w:val="24"/>
          <w:rtl/>
        </w:rPr>
        <w:t xml:space="preserve"> </w:t>
      </w:r>
      <w:proofErr w:type="spellStart"/>
      <w:r>
        <w:rPr>
          <w:rFonts w:hint="eastAsia"/>
          <w:sz w:val="24"/>
          <w:rtl/>
        </w:rPr>
        <w:t>ומינהל</w:t>
      </w:r>
      <w:proofErr w:type="spellEnd"/>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גב</w:t>
      </w:r>
      <w:r>
        <w:rPr>
          <w:sz w:val="24"/>
          <w:rtl/>
        </w:rPr>
        <w:t xml:space="preserve">' </w:t>
      </w:r>
      <w:r>
        <w:rPr>
          <w:rFonts w:hint="eastAsia"/>
          <w:sz w:val="24"/>
          <w:rtl/>
        </w:rPr>
        <w:t>מירית</w:t>
      </w:r>
      <w:r>
        <w:rPr>
          <w:sz w:val="24"/>
          <w:rtl/>
        </w:rPr>
        <w:t xml:space="preserve"> </w:t>
      </w:r>
      <w:r>
        <w:rPr>
          <w:rFonts w:hint="eastAsia"/>
          <w:sz w:val="24"/>
          <w:rtl/>
        </w:rPr>
        <w:t>נחמיאס</w:t>
      </w:r>
      <w:r>
        <w:rPr>
          <w:sz w:val="24"/>
          <w:rtl/>
        </w:rPr>
        <w:t xml:space="preserve"> - </w:t>
      </w:r>
      <w:r>
        <w:rPr>
          <w:rFonts w:hint="eastAsia"/>
          <w:sz w:val="24"/>
          <w:rtl/>
        </w:rPr>
        <w:t>מרכזת</w:t>
      </w:r>
      <w:r>
        <w:rPr>
          <w:sz w:val="24"/>
          <w:rtl/>
        </w:rPr>
        <w:t xml:space="preserve"> </w:t>
      </w:r>
      <w:r>
        <w:rPr>
          <w:rFonts w:hint="eastAsia"/>
          <w:sz w:val="24"/>
          <w:rtl/>
        </w:rPr>
        <w:t>אמרכלות</w:t>
      </w:r>
      <w:r>
        <w:rPr>
          <w:sz w:val="24"/>
          <w:rtl/>
        </w:rPr>
        <w:t xml:space="preserve">, </w:t>
      </w:r>
      <w:r>
        <w:rPr>
          <w:rFonts w:hint="eastAsia"/>
          <w:sz w:val="24"/>
          <w:rtl/>
        </w:rPr>
        <w:t>משרד</w:t>
      </w:r>
      <w:r>
        <w:rPr>
          <w:sz w:val="24"/>
          <w:rtl/>
        </w:rPr>
        <w:t xml:space="preserve"> </w:t>
      </w:r>
      <w:r>
        <w:rPr>
          <w:rFonts w:hint="eastAsia"/>
          <w:sz w:val="24"/>
          <w:rtl/>
        </w:rPr>
        <w:t>האוצר</w:t>
      </w:r>
      <w:r>
        <w:rPr>
          <w:sz w:val="24"/>
          <w:rtl/>
        </w:rPr>
        <w:br/>
      </w:r>
      <w:r>
        <w:rPr>
          <w:rFonts w:hint="eastAsia"/>
          <w:sz w:val="24"/>
          <w:rtl/>
        </w:rPr>
        <w:t>רו</w:t>
      </w:r>
      <w:r>
        <w:rPr>
          <w:sz w:val="24"/>
          <w:rtl/>
        </w:rPr>
        <w:t>"</w:t>
      </w:r>
      <w:r>
        <w:rPr>
          <w:rFonts w:hint="eastAsia"/>
          <w:sz w:val="24"/>
          <w:rtl/>
        </w:rPr>
        <w:t>ח</w:t>
      </w:r>
      <w:r>
        <w:rPr>
          <w:sz w:val="24"/>
          <w:rtl/>
        </w:rPr>
        <w:t xml:space="preserve"> </w:t>
      </w:r>
      <w:r>
        <w:rPr>
          <w:rFonts w:hint="eastAsia"/>
          <w:sz w:val="24"/>
          <w:rtl/>
        </w:rPr>
        <w:t>ערן</w:t>
      </w:r>
      <w:r>
        <w:rPr>
          <w:sz w:val="24"/>
          <w:rtl/>
        </w:rPr>
        <w:t xml:space="preserve"> </w:t>
      </w:r>
      <w:r>
        <w:rPr>
          <w:rFonts w:hint="eastAsia"/>
          <w:sz w:val="24"/>
          <w:rtl/>
        </w:rPr>
        <w:t>מנסנו</w:t>
      </w:r>
      <w:r>
        <w:rPr>
          <w:sz w:val="24"/>
          <w:rtl/>
        </w:rPr>
        <w:t xml:space="preserve"> - </w:t>
      </w:r>
      <w:r>
        <w:rPr>
          <w:rFonts w:hint="eastAsia"/>
          <w:sz w:val="24"/>
          <w:rtl/>
        </w:rPr>
        <w:t>מרכז</w:t>
      </w:r>
      <w:r>
        <w:rPr>
          <w:sz w:val="24"/>
          <w:rtl/>
        </w:rPr>
        <w:t xml:space="preserve"> </w:t>
      </w:r>
      <w:r>
        <w:rPr>
          <w:rFonts w:hint="eastAsia"/>
          <w:sz w:val="24"/>
          <w:rtl/>
        </w:rPr>
        <w:t>בכיר</w:t>
      </w:r>
      <w:r>
        <w:rPr>
          <w:sz w:val="24"/>
          <w:rtl/>
        </w:rPr>
        <w:t xml:space="preserve"> </w:t>
      </w:r>
      <w:r>
        <w:rPr>
          <w:rFonts w:hint="eastAsia"/>
          <w:sz w:val="24"/>
          <w:rtl/>
        </w:rPr>
        <w:t>תקציב</w:t>
      </w:r>
      <w:r>
        <w:rPr>
          <w:sz w:val="24"/>
          <w:rtl/>
        </w:rPr>
        <w:t xml:space="preserve">, </w:t>
      </w:r>
      <w:r>
        <w:rPr>
          <w:rFonts w:hint="eastAsia"/>
          <w:sz w:val="24"/>
          <w:rtl/>
        </w:rPr>
        <w:t>משרד</w:t>
      </w:r>
      <w:r>
        <w:rPr>
          <w:sz w:val="24"/>
          <w:rtl/>
        </w:rPr>
        <w:t xml:space="preserve"> </w:t>
      </w:r>
      <w:r>
        <w:rPr>
          <w:rFonts w:hint="eastAsia"/>
          <w:sz w:val="24"/>
          <w:rtl/>
        </w:rPr>
        <w:t>האוצר</w:t>
      </w:r>
    </w:p>
    <w:p w:rsidR="00044418" w:rsidRPr="004C64D8" w:rsidRDefault="00044418" w:rsidP="00044418">
      <w:pPr>
        <w:rPr>
          <w:szCs w:val="26"/>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044418" w:rsidRDefault="00044418"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9C5931" w:rsidRDefault="009C5931" w:rsidP="00044418">
      <w:pPr>
        <w:rPr>
          <w:rtl/>
        </w:rPr>
      </w:pPr>
    </w:p>
    <w:p w:rsidR="00F63326" w:rsidRDefault="00F63326" w:rsidP="00044418">
      <w:pPr>
        <w:rPr>
          <w:rFonts w:ascii="Arial" w:hAnsi="Arial" w:cs="Arial"/>
          <w:b/>
          <w:sz w:val="22"/>
          <w:szCs w:val="22"/>
          <w:rtl/>
        </w:rPr>
      </w:pPr>
    </w:p>
    <w:p w:rsidR="00F63326" w:rsidRDefault="00F63326" w:rsidP="00044418">
      <w:pPr>
        <w:rPr>
          <w:rFonts w:ascii="Arial" w:hAnsi="Arial" w:cs="Arial"/>
          <w:b/>
          <w:sz w:val="22"/>
          <w:szCs w:val="22"/>
          <w:rtl/>
        </w:rPr>
      </w:pPr>
    </w:p>
    <w:p w:rsidR="00D12894" w:rsidRPr="00044418" w:rsidRDefault="00D12894" w:rsidP="00044418"/>
    <w:sectPr w:rsidR="00D12894" w:rsidRPr="00044418" w:rsidSect="00DB00DF">
      <w:headerReference w:type="even" r:id="rId10"/>
      <w:headerReference w:type="default" r:id="rId11"/>
      <w:footerReference w:type="default" r:id="rId12"/>
      <w:headerReference w:type="first" r:id="rId13"/>
      <w:footerReference w:type="first" r:id="rId14"/>
      <w:pgSz w:w="11907" w:h="16840" w:code="9"/>
      <w:pgMar w:top="1135" w:right="1797" w:bottom="1276" w:left="1797"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6372" w:rsidRDefault="006E6372">
      <w:r>
        <w:separator/>
      </w:r>
    </w:p>
  </w:endnote>
  <w:endnote w:type="continuationSeparator" w:id="0">
    <w:p w:rsidR="006E6372" w:rsidRDefault="006E6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Pr="00672400" w:rsidRDefault="003D24ED" w:rsidP="003D24ED">
    <w:pPr>
      <w:pBdr>
        <w:top w:val="single" w:sz="4" w:space="1" w:color="auto"/>
      </w:pBdr>
      <w:tabs>
        <w:tab w:val="center" w:pos="4059"/>
        <w:tab w:val="right" w:pos="8313"/>
      </w:tabs>
      <w:rPr>
        <w:rStyle w:val="Hyperlink"/>
        <w:rFonts w:cs="Times New Roman"/>
        <w:b/>
        <w:bCs/>
        <w:sz w:val="24"/>
        <w:rtl/>
      </w:rPr>
    </w:pPr>
    <w:r w:rsidRPr="00672400">
      <w:rPr>
        <w:rFonts w:hint="cs"/>
        <w:b/>
        <w:bCs/>
        <w:sz w:val="24"/>
        <w:rtl/>
      </w:rPr>
      <w:t xml:space="preserve">רח' קפלן 1 ירושלים </w:t>
    </w:r>
    <w:r w:rsidRPr="00667A57">
      <w:rPr>
        <w:rFonts w:hint="cs"/>
        <w:b/>
        <w:bCs/>
        <w:sz w:val="24"/>
        <w:rtl/>
      </w:rPr>
      <w:t>31036</w:t>
    </w:r>
    <w:r w:rsidRPr="00672400">
      <w:rPr>
        <w:rFonts w:hint="cs"/>
        <w:b/>
        <w:bCs/>
        <w:sz w:val="24"/>
        <w:rtl/>
      </w:rPr>
      <w:t xml:space="preserve"> ת.ד 3100 טל': 02-5317111 פקס': 02-5695342</w:t>
    </w:r>
    <w:r w:rsidRPr="00672400">
      <w:rPr>
        <w:rFonts w:hint="cs"/>
        <w:b/>
        <w:bCs/>
        <w:sz w:val="24"/>
        <w:rtl/>
      </w:rPr>
      <w:br/>
      <w:t xml:space="preserve">אוצר ברשת : </w:t>
    </w:r>
    <w:hyperlink r:id="rId1" w:history="1">
      <w:r w:rsidRPr="00672400">
        <w:rPr>
          <w:rStyle w:val="Hyperlink"/>
          <w:rFonts w:cs="Times New Roman"/>
          <w:b/>
          <w:bCs/>
          <w:sz w:val="24"/>
        </w:rPr>
        <w:t>www.mof.gov.il</w:t>
      </w:r>
    </w:hyperlink>
    <w:r w:rsidRPr="00672400">
      <w:rPr>
        <w:rFonts w:hint="cs"/>
        <w:b/>
        <w:bCs/>
        <w:sz w:val="24"/>
        <w:rtl/>
      </w:rPr>
      <w:tab/>
    </w:r>
    <w:r>
      <w:rPr>
        <w:b/>
        <w:bCs/>
        <w:noProof/>
        <w:rtl/>
        <w:lang w:eastAsia="en-US"/>
      </w:rPr>
      <w:drawing>
        <wp:inline distT="0" distB="0" distL="0" distR="0" wp14:anchorId="4ED7EB2D" wp14:editId="4C660473">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672400">
      <w:rPr>
        <w:rFonts w:hint="cs"/>
        <w:b/>
        <w:bCs/>
        <w:rtl/>
      </w:rPr>
      <w:tab/>
    </w:r>
    <w:r w:rsidRPr="00672400">
      <w:rPr>
        <w:rFonts w:hint="cs"/>
        <w:b/>
        <w:bCs/>
        <w:sz w:val="24"/>
        <w:rtl/>
      </w:rPr>
      <w:t>שער הממשלה :</w:t>
    </w:r>
    <w:r w:rsidRPr="00672400">
      <w:rPr>
        <w:rStyle w:val="Hyperlink"/>
        <w:rFonts w:cs="Times New Roman"/>
        <w:b/>
        <w:bCs/>
        <w:sz w:val="24"/>
        <w:rtl/>
      </w:rPr>
      <w:t xml:space="preserve"> </w:t>
    </w:r>
    <w:hyperlink r:id="rId3" w:history="1">
      <w:r w:rsidRPr="00672400">
        <w:rPr>
          <w:rStyle w:val="Hyperlink"/>
          <w:rFonts w:cs="Times New Roman"/>
          <w:b/>
          <w:bCs/>
          <w:sz w:val="24"/>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rsidP="003D24ED">
    <w:pPr>
      <w:pStyle w:val="aa"/>
      <w:pBdr>
        <w:top w:val="single" w:sz="6" w:space="1" w:color="auto"/>
      </w:pBdr>
      <w:tabs>
        <w:tab w:val="clear" w:pos="8640"/>
        <w:tab w:val="right" w:pos="8313"/>
      </w:tabs>
      <w:spacing w:line="240" w:lineRule="auto"/>
    </w:pPr>
    <w:r>
      <w:rPr>
        <w:rFonts w:hint="cs"/>
        <w:sz w:val="24"/>
        <w:rtl/>
      </w:rPr>
      <w:t>רח' קפלן 1 ירושלים 31036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00C58739" wp14:editId="34E1483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6372" w:rsidRDefault="006E6372">
      <w:r>
        <w:separator/>
      </w:r>
    </w:p>
  </w:footnote>
  <w:footnote w:type="continuationSeparator" w:id="0">
    <w:p w:rsidR="006E6372" w:rsidRDefault="006E6372">
      <w:r>
        <w:continuationSeparator/>
      </w:r>
    </w:p>
  </w:footnote>
  <w:footnote w:id="1">
    <w:p w:rsidR="009C5931" w:rsidRDefault="009C5931" w:rsidP="009C5931">
      <w:pPr>
        <w:pStyle w:val="af"/>
        <w:bidi w:val="0"/>
      </w:pPr>
      <w:r>
        <w:rPr>
          <w:rStyle w:val="af1"/>
        </w:rPr>
        <w:footnoteRef/>
      </w:r>
      <w:r>
        <w:rPr>
          <w:rtl/>
        </w:rPr>
        <w:t xml:space="preserve"> </w:t>
      </w:r>
      <w:r w:rsidRPr="00B60D2C">
        <w:rPr>
          <w:rFonts w:asciiTheme="minorBidi" w:hAnsiTheme="minorBidi" w:cstheme="minorBidi"/>
          <w:sz w:val="18"/>
          <w:szCs w:val="18"/>
        </w:rPr>
        <w:t>Enterprise Risk Management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3D24ED" w:rsidRDefault="003D24ED">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3D24ED" w:rsidRDefault="003D24ED">
        <w:pPr>
          <w:pStyle w:val="a8"/>
          <w:jc w:val="center"/>
          <w:rPr>
            <w:rtl/>
            <w:cs/>
          </w:rPr>
        </w:pPr>
        <w:r>
          <w:fldChar w:fldCharType="begin"/>
        </w:r>
        <w:r>
          <w:rPr>
            <w:rtl/>
            <w:cs/>
          </w:rPr>
          <w:instrText>PAGE   \* MERGEFORMAT</w:instrText>
        </w:r>
        <w:r>
          <w:fldChar w:fldCharType="separate"/>
        </w:r>
        <w:r w:rsidR="00700CDA" w:rsidRPr="00700CDA">
          <w:rPr>
            <w:noProof/>
            <w:rtl/>
            <w:lang w:val="he-IL"/>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ED" w:rsidRDefault="003D24ED" w:rsidP="003D24ED">
    <w:pPr>
      <w:pStyle w:val="a8"/>
      <w:jc w:val="center"/>
      <w:rPr>
        <w:b w:val="0"/>
        <w:bCs w:val="0"/>
        <w:szCs w:val="40"/>
        <w:rtl/>
      </w:rPr>
    </w:pPr>
    <w:r>
      <w:rPr>
        <w:b w:val="0"/>
        <w:bCs w:val="0"/>
        <w:szCs w:val="40"/>
        <w:rtl/>
      </w:rPr>
      <w:t>מדינת ישראל</w:t>
    </w:r>
  </w:p>
  <w:p w:rsidR="003D24ED" w:rsidRDefault="003D24ED" w:rsidP="003D24ED">
    <w:pPr>
      <w:pStyle w:val="a8"/>
      <w:jc w:val="center"/>
      <w:rPr>
        <w:b w:val="0"/>
        <w:bCs w:val="0"/>
        <w:szCs w:val="32"/>
        <w:rtl/>
      </w:rPr>
    </w:pPr>
    <w:r>
      <w:rPr>
        <w:b w:val="0"/>
        <w:bCs w:val="0"/>
        <w:szCs w:val="32"/>
        <w:rtl/>
      </w:rPr>
      <w:t>משרד האוצר - אגף שוק ההון, ביטוח וח</w:t>
    </w:r>
    <w:r>
      <w:rPr>
        <w:rFonts w:hint="cs"/>
        <w:b w:val="0"/>
        <w:bCs w:val="0"/>
        <w:szCs w:val="32"/>
        <w:rtl/>
      </w:rPr>
      <w:t>י</w:t>
    </w:r>
    <w:r>
      <w:rPr>
        <w:b w:val="0"/>
        <w:bCs w:val="0"/>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A7F15AD"/>
    <w:multiLevelType w:val="hybridMultilevel"/>
    <w:tmpl w:val="4550952C"/>
    <w:lvl w:ilvl="0" w:tplc="798440F4">
      <w:start w:val="1"/>
      <w:numFmt w:val="decimal"/>
      <w:lvlText w:val="%1."/>
      <w:lvlJc w:val="left"/>
      <w:pPr>
        <w:ind w:left="1017" w:hanging="360"/>
      </w:pPr>
      <w:rPr>
        <w:rFonts w:hint="default"/>
        <w:sz w:val="26"/>
      </w:rPr>
    </w:lvl>
    <w:lvl w:ilvl="1" w:tplc="04090019" w:tentative="1">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4B"/>
    <w:rsid w:val="00012637"/>
    <w:rsid w:val="00014182"/>
    <w:rsid w:val="000323DA"/>
    <w:rsid w:val="00034001"/>
    <w:rsid w:val="00044418"/>
    <w:rsid w:val="00047C97"/>
    <w:rsid w:val="000520B7"/>
    <w:rsid w:val="000568CE"/>
    <w:rsid w:val="00066383"/>
    <w:rsid w:val="00093B9D"/>
    <w:rsid w:val="000C04AE"/>
    <w:rsid w:val="000E6098"/>
    <w:rsid w:val="000E632C"/>
    <w:rsid w:val="0010326C"/>
    <w:rsid w:val="00115763"/>
    <w:rsid w:val="001611C6"/>
    <w:rsid w:val="00164B30"/>
    <w:rsid w:val="0018292D"/>
    <w:rsid w:val="001A7C42"/>
    <w:rsid w:val="001C4F6D"/>
    <w:rsid w:val="001D55DD"/>
    <w:rsid w:val="001E548A"/>
    <w:rsid w:val="00215723"/>
    <w:rsid w:val="00275887"/>
    <w:rsid w:val="002A54A3"/>
    <w:rsid w:val="002A7FEA"/>
    <w:rsid w:val="002E38F4"/>
    <w:rsid w:val="002F197C"/>
    <w:rsid w:val="00325E01"/>
    <w:rsid w:val="00361114"/>
    <w:rsid w:val="003739E9"/>
    <w:rsid w:val="003840FE"/>
    <w:rsid w:val="00393C6A"/>
    <w:rsid w:val="003A1D7A"/>
    <w:rsid w:val="003B2049"/>
    <w:rsid w:val="003C3A5C"/>
    <w:rsid w:val="003D24ED"/>
    <w:rsid w:val="003F1396"/>
    <w:rsid w:val="0040055E"/>
    <w:rsid w:val="00402FF5"/>
    <w:rsid w:val="004125FE"/>
    <w:rsid w:val="00423D6A"/>
    <w:rsid w:val="00426E0E"/>
    <w:rsid w:val="004323EF"/>
    <w:rsid w:val="004410DE"/>
    <w:rsid w:val="0044663B"/>
    <w:rsid w:val="00451F2E"/>
    <w:rsid w:val="004523EB"/>
    <w:rsid w:val="00452D7A"/>
    <w:rsid w:val="004708E1"/>
    <w:rsid w:val="004867B4"/>
    <w:rsid w:val="004B4AEE"/>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521FB"/>
    <w:rsid w:val="00666114"/>
    <w:rsid w:val="0066664E"/>
    <w:rsid w:val="00692C69"/>
    <w:rsid w:val="006952CA"/>
    <w:rsid w:val="006A13C9"/>
    <w:rsid w:val="006A2503"/>
    <w:rsid w:val="006A5446"/>
    <w:rsid w:val="006A63B7"/>
    <w:rsid w:val="006B0E5C"/>
    <w:rsid w:val="006B352E"/>
    <w:rsid w:val="006C55AF"/>
    <w:rsid w:val="006D0744"/>
    <w:rsid w:val="006D675E"/>
    <w:rsid w:val="006D686D"/>
    <w:rsid w:val="006E5942"/>
    <w:rsid w:val="006E6372"/>
    <w:rsid w:val="00700CDA"/>
    <w:rsid w:val="00706164"/>
    <w:rsid w:val="00735D55"/>
    <w:rsid w:val="00743847"/>
    <w:rsid w:val="00751B50"/>
    <w:rsid w:val="00757313"/>
    <w:rsid w:val="00757879"/>
    <w:rsid w:val="007611DA"/>
    <w:rsid w:val="007725B1"/>
    <w:rsid w:val="00793E5C"/>
    <w:rsid w:val="007A373A"/>
    <w:rsid w:val="007A55F2"/>
    <w:rsid w:val="007B7D12"/>
    <w:rsid w:val="007D2256"/>
    <w:rsid w:val="007D4118"/>
    <w:rsid w:val="007E2692"/>
    <w:rsid w:val="007E54DC"/>
    <w:rsid w:val="0080160A"/>
    <w:rsid w:val="0082739B"/>
    <w:rsid w:val="00864DB3"/>
    <w:rsid w:val="00867AE5"/>
    <w:rsid w:val="00870D8A"/>
    <w:rsid w:val="008B39D7"/>
    <w:rsid w:val="008E77BE"/>
    <w:rsid w:val="00910BC9"/>
    <w:rsid w:val="00915C9A"/>
    <w:rsid w:val="00935E81"/>
    <w:rsid w:val="00972F25"/>
    <w:rsid w:val="00982259"/>
    <w:rsid w:val="00986444"/>
    <w:rsid w:val="00990A24"/>
    <w:rsid w:val="009B64FE"/>
    <w:rsid w:val="009C5931"/>
    <w:rsid w:val="009D4922"/>
    <w:rsid w:val="009D5519"/>
    <w:rsid w:val="009E52B5"/>
    <w:rsid w:val="009F2C30"/>
    <w:rsid w:val="009F7F7A"/>
    <w:rsid w:val="00A15876"/>
    <w:rsid w:val="00A15D5D"/>
    <w:rsid w:val="00A30921"/>
    <w:rsid w:val="00A5751E"/>
    <w:rsid w:val="00A67A4F"/>
    <w:rsid w:val="00A7396A"/>
    <w:rsid w:val="00A73972"/>
    <w:rsid w:val="00A84333"/>
    <w:rsid w:val="00A84658"/>
    <w:rsid w:val="00A84736"/>
    <w:rsid w:val="00AA4752"/>
    <w:rsid w:val="00AD0167"/>
    <w:rsid w:val="00AF1C47"/>
    <w:rsid w:val="00B03E2B"/>
    <w:rsid w:val="00B041F7"/>
    <w:rsid w:val="00B30AF5"/>
    <w:rsid w:val="00B311D4"/>
    <w:rsid w:val="00B429D7"/>
    <w:rsid w:val="00B60EE6"/>
    <w:rsid w:val="00B67385"/>
    <w:rsid w:val="00B93390"/>
    <w:rsid w:val="00B93A25"/>
    <w:rsid w:val="00BB393A"/>
    <w:rsid w:val="00BB5E0C"/>
    <w:rsid w:val="00BC2B76"/>
    <w:rsid w:val="00BC32AE"/>
    <w:rsid w:val="00BD67E7"/>
    <w:rsid w:val="00BE7D1A"/>
    <w:rsid w:val="00C01906"/>
    <w:rsid w:val="00C01BF2"/>
    <w:rsid w:val="00C171DC"/>
    <w:rsid w:val="00C27AC8"/>
    <w:rsid w:val="00C3464B"/>
    <w:rsid w:val="00C37F33"/>
    <w:rsid w:val="00C466FE"/>
    <w:rsid w:val="00C56AB0"/>
    <w:rsid w:val="00C84ABA"/>
    <w:rsid w:val="00CA61AF"/>
    <w:rsid w:val="00CB40A4"/>
    <w:rsid w:val="00CC356E"/>
    <w:rsid w:val="00CD1595"/>
    <w:rsid w:val="00CD6DB8"/>
    <w:rsid w:val="00CE0517"/>
    <w:rsid w:val="00CF44BB"/>
    <w:rsid w:val="00D12894"/>
    <w:rsid w:val="00D33979"/>
    <w:rsid w:val="00D66453"/>
    <w:rsid w:val="00D731DA"/>
    <w:rsid w:val="00D969C1"/>
    <w:rsid w:val="00DB00DF"/>
    <w:rsid w:val="00DD5320"/>
    <w:rsid w:val="00DE069A"/>
    <w:rsid w:val="00DE39B9"/>
    <w:rsid w:val="00DE7CC8"/>
    <w:rsid w:val="00DF73FF"/>
    <w:rsid w:val="00E41B31"/>
    <w:rsid w:val="00E56588"/>
    <w:rsid w:val="00E95EEF"/>
    <w:rsid w:val="00EA6729"/>
    <w:rsid w:val="00EC303E"/>
    <w:rsid w:val="00ED1502"/>
    <w:rsid w:val="00ED18F6"/>
    <w:rsid w:val="00ED709D"/>
    <w:rsid w:val="00EF71D7"/>
    <w:rsid w:val="00F00D41"/>
    <w:rsid w:val="00F0592A"/>
    <w:rsid w:val="00F25ABF"/>
    <w:rsid w:val="00F26580"/>
    <w:rsid w:val="00F46EA5"/>
    <w:rsid w:val="00F509E4"/>
    <w:rsid w:val="00F63326"/>
    <w:rsid w:val="00F74EF7"/>
    <w:rsid w:val="00F80DA7"/>
    <w:rsid w:val="00F975CB"/>
    <w:rsid w:val="00FB4B8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uiPriority w:val="99"/>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paragraph" w:styleId="af">
    <w:name w:val="footnote text"/>
    <w:basedOn w:val="a"/>
    <w:link w:val="af0"/>
    <w:uiPriority w:val="99"/>
    <w:unhideWhenUsed/>
    <w:rsid w:val="00D12894"/>
    <w:rPr>
      <w:sz w:val="20"/>
      <w:szCs w:val="20"/>
    </w:rPr>
  </w:style>
  <w:style w:type="character" w:customStyle="1" w:styleId="af0">
    <w:name w:val="טקסט הערת שוליים תו"/>
    <w:basedOn w:val="a0"/>
    <w:link w:val="af"/>
    <w:uiPriority w:val="99"/>
    <w:rsid w:val="00D12894"/>
    <w:rPr>
      <w:rFonts w:ascii="Arial Narrow" w:eastAsia="Times New Roman" w:hAnsi="Arial Narrow" w:cs="David"/>
      <w:sz w:val="20"/>
      <w:szCs w:val="20"/>
      <w:lang w:eastAsia="he-IL"/>
    </w:rPr>
  </w:style>
  <w:style w:type="character" w:styleId="af1">
    <w:name w:val="footnote reference"/>
    <w:uiPriority w:val="99"/>
    <w:unhideWhenUsed/>
    <w:rsid w:val="00D12894"/>
    <w:rPr>
      <w:vertAlign w:val="superscript"/>
    </w:rPr>
  </w:style>
  <w:style w:type="character" w:styleId="af2">
    <w:name w:val="annotation reference"/>
    <w:basedOn w:val="a0"/>
    <w:uiPriority w:val="99"/>
    <w:semiHidden/>
    <w:unhideWhenUsed/>
    <w:rsid w:val="00115763"/>
    <w:rPr>
      <w:sz w:val="16"/>
      <w:szCs w:val="16"/>
    </w:rPr>
  </w:style>
  <w:style w:type="paragraph" w:styleId="af3">
    <w:name w:val="annotation text"/>
    <w:basedOn w:val="a"/>
    <w:link w:val="af4"/>
    <w:uiPriority w:val="99"/>
    <w:semiHidden/>
    <w:unhideWhenUsed/>
    <w:rsid w:val="00115763"/>
    <w:rPr>
      <w:sz w:val="20"/>
      <w:szCs w:val="20"/>
    </w:rPr>
  </w:style>
  <w:style w:type="character" w:customStyle="1" w:styleId="af4">
    <w:name w:val="טקסט הערה תו"/>
    <w:basedOn w:val="a0"/>
    <w:link w:val="af3"/>
    <w:uiPriority w:val="99"/>
    <w:semiHidden/>
    <w:rsid w:val="00115763"/>
    <w:rPr>
      <w:rFonts w:ascii="Arial Narrow" w:eastAsia="Times New Roman" w:hAnsi="Arial Narrow" w:cs="David"/>
      <w:sz w:val="20"/>
      <w:szCs w:val="20"/>
      <w:lang w:eastAsia="he-IL"/>
    </w:rPr>
  </w:style>
  <w:style w:type="paragraph" w:styleId="af5">
    <w:name w:val="annotation subject"/>
    <w:basedOn w:val="af3"/>
    <w:next w:val="af3"/>
    <w:link w:val="af6"/>
    <w:uiPriority w:val="99"/>
    <w:semiHidden/>
    <w:unhideWhenUsed/>
    <w:rsid w:val="00115763"/>
    <w:rPr>
      <w:b/>
      <w:bCs/>
    </w:rPr>
  </w:style>
  <w:style w:type="character" w:customStyle="1" w:styleId="af6">
    <w:name w:val="נושא הערה תו"/>
    <w:basedOn w:val="af4"/>
    <w:link w:val="af5"/>
    <w:uiPriority w:val="99"/>
    <w:semiHidden/>
    <w:rsid w:val="00115763"/>
    <w:rPr>
      <w:rFonts w:ascii="Arial Narrow" w:eastAsia="Times New Roman" w:hAnsi="Arial Narrow" w:cs="David"/>
      <w:b/>
      <w:bCs/>
      <w:sz w:val="20"/>
      <w:szCs w:val="20"/>
      <w:lang w:eastAsia="he-IL"/>
    </w:rPr>
  </w:style>
  <w:style w:type="paragraph" w:styleId="af7">
    <w:name w:val="Revision"/>
    <w:hidden/>
    <w:uiPriority w:val="99"/>
    <w:semiHidden/>
    <w:rsid w:val="00115763"/>
    <w:pPr>
      <w:spacing w:before="0" w:after="0" w:line="240" w:lineRule="auto"/>
    </w:pPr>
    <w:rPr>
      <w:rFonts w:ascii="Arial Narrow" w:eastAsia="Times New Roman" w:hAnsi="Arial Narrow" w:cs="David"/>
      <w:sz w:val="26"/>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464B"/>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464B"/>
    <w:rPr>
      <w:rFonts w:ascii="Times New Roman" w:eastAsia="Times New Roman" w:hAnsi="Times New Roman" w:cs="David"/>
      <w:b/>
      <w:bCs/>
      <w:szCs w:val="24"/>
      <w:lang w:eastAsia="he-IL"/>
    </w:rPr>
  </w:style>
  <w:style w:type="paragraph" w:styleId="aa">
    <w:name w:val="footer"/>
    <w:basedOn w:val="a"/>
    <w:link w:val="ab"/>
    <w:rsid w:val="00C3464B"/>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464B"/>
    <w:rPr>
      <w:rFonts w:ascii="Times New Roman" w:eastAsia="Times New Roman" w:hAnsi="Times New Roman" w:cs="David"/>
      <w:b/>
      <w:bCs/>
      <w:szCs w:val="24"/>
      <w:lang w:eastAsia="he-IL"/>
    </w:rPr>
  </w:style>
  <w:style w:type="character" w:styleId="ac">
    <w:name w:val="page number"/>
    <w:basedOn w:val="a0"/>
    <w:rsid w:val="00C3464B"/>
  </w:style>
  <w:style w:type="character" w:styleId="Hyperlink">
    <w:name w:val="Hyperlink"/>
    <w:uiPriority w:val="99"/>
    <w:rsid w:val="00C3464B"/>
    <w:rPr>
      <w:color w:val="0000FF"/>
      <w:u w:val="single"/>
    </w:rPr>
  </w:style>
  <w:style w:type="paragraph" w:styleId="ad">
    <w:name w:val="Balloon Text"/>
    <w:basedOn w:val="a"/>
    <w:link w:val="ae"/>
    <w:uiPriority w:val="99"/>
    <w:semiHidden/>
    <w:unhideWhenUsed/>
    <w:rsid w:val="00C3464B"/>
    <w:rPr>
      <w:rFonts w:ascii="Tahoma" w:hAnsi="Tahoma" w:cs="Tahoma"/>
      <w:sz w:val="16"/>
      <w:szCs w:val="16"/>
    </w:rPr>
  </w:style>
  <w:style w:type="character" w:customStyle="1" w:styleId="ae">
    <w:name w:val="טקסט בלונים תו"/>
    <w:basedOn w:val="a0"/>
    <w:link w:val="ad"/>
    <w:uiPriority w:val="99"/>
    <w:semiHidden/>
    <w:rsid w:val="00C3464B"/>
    <w:rPr>
      <w:rFonts w:ascii="Tahoma" w:eastAsia="Times New Roman" w:hAnsi="Tahoma" w:cs="Tahoma"/>
      <w:sz w:val="16"/>
      <w:szCs w:val="16"/>
      <w:lang w:eastAsia="he-IL"/>
    </w:rPr>
  </w:style>
  <w:style w:type="paragraph" w:styleId="af">
    <w:name w:val="footnote text"/>
    <w:basedOn w:val="a"/>
    <w:link w:val="af0"/>
    <w:uiPriority w:val="99"/>
    <w:unhideWhenUsed/>
    <w:rsid w:val="00D12894"/>
    <w:rPr>
      <w:sz w:val="20"/>
      <w:szCs w:val="20"/>
    </w:rPr>
  </w:style>
  <w:style w:type="character" w:customStyle="1" w:styleId="af0">
    <w:name w:val="טקסט הערת שוליים תו"/>
    <w:basedOn w:val="a0"/>
    <w:link w:val="af"/>
    <w:uiPriority w:val="99"/>
    <w:rsid w:val="00D12894"/>
    <w:rPr>
      <w:rFonts w:ascii="Arial Narrow" w:eastAsia="Times New Roman" w:hAnsi="Arial Narrow" w:cs="David"/>
      <w:sz w:val="20"/>
      <w:szCs w:val="20"/>
      <w:lang w:eastAsia="he-IL"/>
    </w:rPr>
  </w:style>
  <w:style w:type="character" w:styleId="af1">
    <w:name w:val="footnote reference"/>
    <w:uiPriority w:val="99"/>
    <w:unhideWhenUsed/>
    <w:rsid w:val="00D12894"/>
    <w:rPr>
      <w:vertAlign w:val="superscript"/>
    </w:rPr>
  </w:style>
  <w:style w:type="character" w:styleId="af2">
    <w:name w:val="annotation reference"/>
    <w:basedOn w:val="a0"/>
    <w:uiPriority w:val="99"/>
    <w:semiHidden/>
    <w:unhideWhenUsed/>
    <w:rsid w:val="00115763"/>
    <w:rPr>
      <w:sz w:val="16"/>
      <w:szCs w:val="16"/>
    </w:rPr>
  </w:style>
  <w:style w:type="paragraph" w:styleId="af3">
    <w:name w:val="annotation text"/>
    <w:basedOn w:val="a"/>
    <w:link w:val="af4"/>
    <w:uiPriority w:val="99"/>
    <w:semiHidden/>
    <w:unhideWhenUsed/>
    <w:rsid w:val="00115763"/>
    <w:rPr>
      <w:sz w:val="20"/>
      <w:szCs w:val="20"/>
    </w:rPr>
  </w:style>
  <w:style w:type="character" w:customStyle="1" w:styleId="af4">
    <w:name w:val="טקסט הערה תו"/>
    <w:basedOn w:val="a0"/>
    <w:link w:val="af3"/>
    <w:uiPriority w:val="99"/>
    <w:semiHidden/>
    <w:rsid w:val="00115763"/>
    <w:rPr>
      <w:rFonts w:ascii="Arial Narrow" w:eastAsia="Times New Roman" w:hAnsi="Arial Narrow" w:cs="David"/>
      <w:sz w:val="20"/>
      <w:szCs w:val="20"/>
      <w:lang w:eastAsia="he-IL"/>
    </w:rPr>
  </w:style>
  <w:style w:type="paragraph" w:styleId="af5">
    <w:name w:val="annotation subject"/>
    <w:basedOn w:val="af3"/>
    <w:next w:val="af3"/>
    <w:link w:val="af6"/>
    <w:uiPriority w:val="99"/>
    <w:semiHidden/>
    <w:unhideWhenUsed/>
    <w:rsid w:val="00115763"/>
    <w:rPr>
      <w:b/>
      <w:bCs/>
    </w:rPr>
  </w:style>
  <w:style w:type="character" w:customStyle="1" w:styleId="af6">
    <w:name w:val="נושא הערה תו"/>
    <w:basedOn w:val="af4"/>
    <w:link w:val="af5"/>
    <w:uiPriority w:val="99"/>
    <w:semiHidden/>
    <w:rsid w:val="00115763"/>
    <w:rPr>
      <w:rFonts w:ascii="Arial Narrow" w:eastAsia="Times New Roman" w:hAnsi="Arial Narrow" w:cs="David"/>
      <w:b/>
      <w:bCs/>
      <w:sz w:val="20"/>
      <w:szCs w:val="20"/>
      <w:lang w:eastAsia="he-IL"/>
    </w:rPr>
  </w:style>
  <w:style w:type="paragraph" w:styleId="af7">
    <w:name w:val="Revision"/>
    <w:hidden/>
    <w:uiPriority w:val="99"/>
    <w:semiHidden/>
    <w:rsid w:val="00115763"/>
    <w:pPr>
      <w:spacing w:before="0" w:after="0" w:line="240" w:lineRule="auto"/>
    </w:pPr>
    <w:rPr>
      <w:rFonts w:ascii="Arial Narrow" w:eastAsia="Times New Roman" w:hAnsi="Arial Narrow" w:cs="David"/>
      <w:sz w:val="26"/>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7629409">
      <w:bodyDiv w:val="1"/>
      <w:marLeft w:val="0"/>
      <w:marRight w:val="0"/>
      <w:marTop w:val="0"/>
      <w:marBottom w:val="0"/>
      <w:divBdr>
        <w:top w:val="none" w:sz="0" w:space="0" w:color="auto"/>
        <w:left w:val="none" w:sz="0" w:space="0" w:color="auto"/>
        <w:bottom w:val="none" w:sz="0" w:space="0" w:color="auto"/>
        <w:right w:val="none" w:sz="0" w:space="0" w:color="auto"/>
      </w:divBdr>
      <w:divsChild>
        <w:div w:id="437065070">
          <w:marLeft w:val="0"/>
          <w:marRight w:val="0"/>
          <w:marTop w:val="0"/>
          <w:marBottom w:val="150"/>
          <w:divBdr>
            <w:top w:val="none" w:sz="0" w:space="0" w:color="auto"/>
            <w:left w:val="none" w:sz="0" w:space="0" w:color="auto"/>
            <w:bottom w:val="none" w:sz="0" w:space="0" w:color="auto"/>
            <w:right w:val="none" w:sz="0" w:space="0" w:color="auto"/>
          </w:divBdr>
          <w:divsChild>
            <w:div w:id="1628857519">
              <w:marLeft w:val="0"/>
              <w:marRight w:val="0"/>
              <w:marTop w:val="0"/>
              <w:marBottom w:val="300"/>
              <w:divBdr>
                <w:top w:val="none" w:sz="0" w:space="0" w:color="auto"/>
                <w:left w:val="none" w:sz="0" w:space="0" w:color="auto"/>
                <w:bottom w:val="none" w:sz="0" w:space="0" w:color="auto"/>
                <w:right w:val="none" w:sz="0" w:space="0" w:color="auto"/>
              </w:divBdr>
              <w:divsChild>
                <w:div w:id="1224415385">
                  <w:marLeft w:val="300"/>
                  <w:marRight w:val="0"/>
                  <w:marTop w:val="0"/>
                  <w:marBottom w:val="0"/>
                  <w:divBdr>
                    <w:top w:val="none" w:sz="0" w:space="0" w:color="auto"/>
                    <w:left w:val="none" w:sz="0" w:space="0" w:color="auto"/>
                    <w:bottom w:val="none" w:sz="0" w:space="0" w:color="auto"/>
                    <w:right w:val="none" w:sz="0" w:space="0" w:color="auto"/>
                  </w:divBdr>
                </w:div>
                <w:div w:id="860168820">
                  <w:marLeft w:val="0"/>
                  <w:marRight w:val="300"/>
                  <w:marTop w:val="0"/>
                  <w:marBottom w:val="0"/>
                  <w:divBdr>
                    <w:top w:val="none" w:sz="0" w:space="0" w:color="auto"/>
                    <w:left w:val="none" w:sz="0" w:space="0" w:color="auto"/>
                    <w:bottom w:val="none" w:sz="0" w:space="0" w:color="auto"/>
                    <w:right w:val="none" w:sz="0" w:space="0" w:color="auto"/>
                  </w:divBdr>
                </w:div>
              </w:divsChild>
            </w:div>
            <w:div w:id="873615006">
              <w:marLeft w:val="0"/>
              <w:marRight w:val="0"/>
              <w:marTop w:val="0"/>
              <w:marBottom w:val="0"/>
              <w:divBdr>
                <w:top w:val="none" w:sz="0" w:space="0" w:color="auto"/>
                <w:left w:val="none" w:sz="0" w:space="0" w:color="auto"/>
                <w:bottom w:val="none" w:sz="0" w:space="0" w:color="auto"/>
                <w:right w:val="none" w:sz="0" w:space="0" w:color="auto"/>
              </w:divBdr>
              <w:divsChild>
                <w:div w:id="1730498900">
                  <w:marLeft w:val="0"/>
                  <w:marRight w:val="0"/>
                  <w:marTop w:val="0"/>
                  <w:marBottom w:val="0"/>
                  <w:divBdr>
                    <w:top w:val="none" w:sz="0" w:space="0" w:color="auto"/>
                    <w:left w:val="none" w:sz="0" w:space="0" w:color="auto"/>
                    <w:bottom w:val="none" w:sz="0" w:space="0" w:color="auto"/>
                    <w:right w:val="none" w:sz="0" w:space="0" w:color="auto"/>
                  </w:divBdr>
                </w:div>
                <w:div w:id="439615973">
                  <w:marLeft w:val="0"/>
                  <w:marRight w:val="0"/>
                  <w:marTop w:val="0"/>
                  <w:marBottom w:val="0"/>
                  <w:divBdr>
                    <w:top w:val="none" w:sz="0" w:space="0" w:color="auto"/>
                    <w:left w:val="none" w:sz="0" w:space="0" w:color="auto"/>
                    <w:bottom w:val="none" w:sz="0" w:space="0" w:color="auto"/>
                    <w:right w:val="none" w:sz="0" w:space="0" w:color="auto"/>
                  </w:divBdr>
                </w:div>
                <w:div w:id="1091778783">
                  <w:marLeft w:val="0"/>
                  <w:marRight w:val="0"/>
                  <w:marTop w:val="0"/>
                  <w:marBottom w:val="0"/>
                  <w:divBdr>
                    <w:top w:val="none" w:sz="0" w:space="0" w:color="auto"/>
                    <w:left w:val="none" w:sz="0" w:space="0" w:color="auto"/>
                    <w:bottom w:val="none" w:sz="0" w:space="0" w:color="auto"/>
                    <w:right w:val="none" w:sz="0" w:space="0" w:color="auto"/>
                  </w:divBdr>
                </w:div>
                <w:div w:id="1415976398">
                  <w:marLeft w:val="0"/>
                  <w:marRight w:val="0"/>
                  <w:marTop w:val="0"/>
                  <w:marBottom w:val="0"/>
                  <w:divBdr>
                    <w:top w:val="none" w:sz="0" w:space="0" w:color="auto"/>
                    <w:left w:val="none" w:sz="0" w:space="0" w:color="auto"/>
                    <w:bottom w:val="none" w:sz="0" w:space="0" w:color="auto"/>
                    <w:right w:val="none" w:sz="0" w:space="0" w:color="auto"/>
                  </w:divBdr>
                </w:div>
                <w:div w:id="399131498">
                  <w:marLeft w:val="0"/>
                  <w:marRight w:val="0"/>
                  <w:marTop w:val="0"/>
                  <w:marBottom w:val="0"/>
                  <w:divBdr>
                    <w:top w:val="none" w:sz="0" w:space="0" w:color="auto"/>
                    <w:left w:val="none" w:sz="0" w:space="0" w:color="auto"/>
                    <w:bottom w:val="none" w:sz="0" w:space="0" w:color="auto"/>
                    <w:right w:val="none" w:sz="0" w:space="0" w:color="auto"/>
                  </w:divBdr>
                </w:div>
                <w:div w:id="32748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659629">
          <w:marLeft w:val="150"/>
          <w:marRight w:val="150"/>
          <w:marTop w:val="0"/>
          <w:marBottom w:val="150"/>
          <w:divBdr>
            <w:top w:val="none" w:sz="0" w:space="0" w:color="auto"/>
            <w:left w:val="none" w:sz="0" w:space="0" w:color="auto"/>
            <w:bottom w:val="none" w:sz="0" w:space="0" w:color="auto"/>
            <w:right w:val="none" w:sz="0" w:space="0" w:color="auto"/>
          </w:divBdr>
          <w:divsChild>
            <w:div w:id="849106965">
              <w:marLeft w:val="150"/>
              <w:marRight w:val="150"/>
              <w:marTop w:val="75"/>
              <w:marBottom w:val="75"/>
              <w:divBdr>
                <w:top w:val="none" w:sz="0" w:space="0" w:color="auto"/>
                <w:left w:val="none" w:sz="0" w:space="0" w:color="auto"/>
                <w:bottom w:val="none" w:sz="0" w:space="0" w:color="auto"/>
                <w:right w:val="none" w:sz="0" w:space="0" w:color="auto"/>
              </w:divBdr>
            </w:div>
            <w:div w:id="180555030">
              <w:marLeft w:val="0"/>
              <w:marRight w:val="0"/>
              <w:marTop w:val="0"/>
              <w:marBottom w:val="0"/>
              <w:divBdr>
                <w:top w:val="none" w:sz="0" w:space="0" w:color="auto"/>
                <w:left w:val="none" w:sz="0" w:space="0" w:color="auto"/>
                <w:bottom w:val="none" w:sz="0" w:space="0" w:color="auto"/>
                <w:right w:val="none" w:sz="0" w:space="0" w:color="auto"/>
              </w:divBdr>
              <w:divsChild>
                <w:div w:id="524488052">
                  <w:marLeft w:val="0"/>
                  <w:marRight w:val="0"/>
                  <w:marTop w:val="0"/>
                  <w:marBottom w:val="0"/>
                  <w:divBdr>
                    <w:top w:val="none" w:sz="0" w:space="0" w:color="auto"/>
                    <w:left w:val="none" w:sz="0" w:space="0" w:color="auto"/>
                    <w:bottom w:val="none" w:sz="0" w:space="0" w:color="auto"/>
                    <w:right w:val="none" w:sz="0" w:space="0" w:color="auto"/>
                  </w:divBdr>
                  <w:divsChild>
                    <w:div w:id="885684586">
                      <w:marLeft w:val="150"/>
                      <w:marRight w:val="150"/>
                      <w:marTop w:val="75"/>
                      <w:marBottom w:val="75"/>
                      <w:divBdr>
                        <w:top w:val="none" w:sz="0" w:space="0" w:color="auto"/>
                        <w:left w:val="none" w:sz="0" w:space="0" w:color="auto"/>
                        <w:bottom w:val="none" w:sz="0" w:space="0" w:color="auto"/>
                        <w:right w:val="none" w:sz="0" w:space="0" w:color="auto"/>
                      </w:divBdr>
                    </w:div>
                    <w:div w:id="141627878">
                      <w:marLeft w:val="150"/>
                      <w:marRight w:val="150"/>
                      <w:marTop w:val="75"/>
                      <w:marBottom w:val="75"/>
                      <w:divBdr>
                        <w:top w:val="none" w:sz="0" w:space="0" w:color="auto"/>
                        <w:left w:val="none" w:sz="0" w:space="0" w:color="auto"/>
                        <w:bottom w:val="none" w:sz="0" w:space="0" w:color="auto"/>
                        <w:right w:val="none" w:sz="0" w:space="0" w:color="auto"/>
                      </w:divBdr>
                    </w:div>
                  </w:divsChild>
                </w:div>
                <w:div w:id="1656882296">
                  <w:marLeft w:val="0"/>
                  <w:marRight w:val="0"/>
                  <w:marTop w:val="0"/>
                  <w:marBottom w:val="0"/>
                  <w:divBdr>
                    <w:top w:val="none" w:sz="0" w:space="0" w:color="auto"/>
                    <w:left w:val="none" w:sz="0" w:space="0" w:color="auto"/>
                    <w:bottom w:val="none" w:sz="0" w:space="0" w:color="auto"/>
                    <w:right w:val="none" w:sz="0" w:space="0" w:color="auto"/>
                  </w:divBdr>
                  <w:divsChild>
                    <w:div w:id="671685605">
                      <w:marLeft w:val="150"/>
                      <w:marRight w:val="150"/>
                      <w:marTop w:val="75"/>
                      <w:marBottom w:val="75"/>
                      <w:divBdr>
                        <w:top w:val="none" w:sz="0" w:space="0" w:color="auto"/>
                        <w:left w:val="none" w:sz="0" w:space="0" w:color="auto"/>
                        <w:bottom w:val="single" w:sz="6" w:space="8" w:color="CCCCCC"/>
                        <w:right w:val="none" w:sz="0" w:space="0" w:color="auto"/>
                      </w:divBdr>
                    </w:div>
                    <w:div w:id="1204437866">
                      <w:marLeft w:val="0"/>
                      <w:marRight w:val="0"/>
                      <w:marTop w:val="0"/>
                      <w:marBottom w:val="0"/>
                      <w:divBdr>
                        <w:top w:val="none" w:sz="0" w:space="0" w:color="auto"/>
                        <w:left w:val="none" w:sz="0" w:space="0" w:color="auto"/>
                        <w:bottom w:val="none" w:sz="0" w:space="0" w:color="auto"/>
                        <w:right w:val="none" w:sz="0" w:space="0" w:color="auto"/>
                      </w:divBdr>
                      <w:divsChild>
                        <w:div w:id="496767536">
                          <w:marLeft w:val="150"/>
                          <w:marRight w:val="150"/>
                          <w:marTop w:val="75"/>
                          <w:marBottom w:val="75"/>
                          <w:divBdr>
                            <w:top w:val="none" w:sz="0" w:space="0" w:color="auto"/>
                            <w:left w:val="none" w:sz="0" w:space="0" w:color="auto"/>
                            <w:bottom w:val="single" w:sz="6" w:space="8" w:color="CCCCCC"/>
                            <w:right w:val="none" w:sz="0" w:space="0" w:color="auto"/>
                          </w:divBdr>
                        </w:div>
                        <w:div w:id="908883183">
                          <w:marLeft w:val="150"/>
                          <w:marRight w:val="150"/>
                          <w:marTop w:val="75"/>
                          <w:marBottom w:val="75"/>
                          <w:divBdr>
                            <w:top w:val="none" w:sz="0" w:space="0" w:color="auto"/>
                            <w:left w:val="none" w:sz="0" w:space="0" w:color="auto"/>
                            <w:bottom w:val="single" w:sz="6" w:space="8" w:color="CCCCCC"/>
                            <w:right w:val="none" w:sz="0" w:space="0" w:color="auto"/>
                          </w:divBdr>
                        </w:div>
                        <w:div w:id="689140756">
                          <w:marLeft w:val="150"/>
                          <w:marRight w:val="15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insuranceerm.com/"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CD5EF1-8CB8-447D-BDE5-7C1C87386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1743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אבי כהן</cp:lastModifiedBy>
  <cp:revision>2</cp:revision>
  <dcterms:created xsi:type="dcterms:W3CDTF">2015-12-13T09:58:00Z</dcterms:created>
  <dcterms:modified xsi:type="dcterms:W3CDTF">2015-12-13T09:58:00Z</dcterms:modified>
</cp:coreProperties>
</file>